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8D46BA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8D46BA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B73342" w:rsidRPr="008D46BA" w:rsidRDefault="00B73342" w:rsidP="00F93B1A">
      <w:pPr>
        <w:jc w:val="center"/>
        <w:rPr>
          <w:rStyle w:val="a4"/>
          <w:b w:val="0"/>
          <w:sz w:val="18"/>
          <w:szCs w:val="18"/>
        </w:rPr>
      </w:pPr>
    </w:p>
    <w:p w:rsidR="00F93B1A" w:rsidRPr="008D46BA" w:rsidRDefault="00F93B1A" w:rsidP="00F93B1A">
      <w:pPr>
        <w:jc w:val="center"/>
        <w:rPr>
          <w:rStyle w:val="a4"/>
          <w:b w:val="0"/>
          <w:sz w:val="18"/>
          <w:szCs w:val="18"/>
        </w:rPr>
      </w:pPr>
    </w:p>
    <w:p w:rsidR="00131518" w:rsidRPr="008F6791" w:rsidRDefault="00131518" w:rsidP="00647163">
      <w:pPr>
        <w:tabs>
          <w:tab w:val="left" w:pos="5387"/>
        </w:tabs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47163" w:rsidRPr="008D46BA" w:rsidRDefault="00647163" w:rsidP="00131518">
      <w:pPr>
        <w:jc w:val="center"/>
        <w:rPr>
          <w:rStyle w:val="a4"/>
          <w:b w:val="0"/>
          <w:sz w:val="18"/>
          <w:szCs w:val="18"/>
        </w:rPr>
      </w:pPr>
    </w:p>
    <w:p w:rsidR="00647163" w:rsidRPr="008D46BA" w:rsidRDefault="00647163" w:rsidP="00131518">
      <w:pPr>
        <w:jc w:val="center"/>
        <w:rPr>
          <w:rStyle w:val="a4"/>
          <w:b w:val="0"/>
          <w:sz w:val="18"/>
          <w:szCs w:val="18"/>
        </w:rPr>
      </w:pPr>
    </w:p>
    <w:p w:rsidR="00DE30C1" w:rsidRDefault="00CC5E0D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0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0"/>
          <w:sz w:val="30"/>
          <w:szCs w:val="30"/>
        </w:rPr>
        <w:t>исчисляет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D46BA" w:rsidRDefault="00780A77" w:rsidP="00DE30C1">
      <w:pPr>
        <w:suppressAutoHyphens w:val="0"/>
        <w:ind w:firstLine="709"/>
        <w:jc w:val="both"/>
        <w:rPr>
          <w:rStyle w:val="a4"/>
          <w:b w:val="0"/>
          <w:sz w:val="18"/>
          <w:szCs w:val="18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D46BA" w:rsidRDefault="00780A77" w:rsidP="00DE30C1">
      <w:pPr>
        <w:jc w:val="center"/>
        <w:rPr>
          <w:rStyle w:val="a4"/>
          <w:b w:val="0"/>
          <w:bCs w:val="0"/>
          <w:sz w:val="18"/>
          <w:szCs w:val="18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0"/>
          <w:sz w:val="30"/>
          <w:szCs w:val="30"/>
        </w:rPr>
        <w:t>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647163">
        <w:rPr>
          <w:sz w:val="30"/>
          <w:szCs w:val="30"/>
        </w:rPr>
        <w:t xml:space="preserve">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647163">
        <w:rPr>
          <w:rStyle w:val="a4"/>
          <w:b w:val="0"/>
          <w:sz w:val="30"/>
          <w:szCs w:val="30"/>
        </w:rPr>
        <w:t xml:space="preserve">                </w:t>
      </w:r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 xml:space="preserve">аблице </w:t>
      </w:r>
      <w:r w:rsidR="00CC5E0D">
        <w:rPr>
          <w:rStyle w:val="a4"/>
          <w:b w:val="0"/>
          <w:sz w:val="30"/>
          <w:szCs w:val="30"/>
        </w:rPr>
        <w:t>1</w:t>
      </w:r>
      <w:r w:rsidRPr="008F6791">
        <w:rPr>
          <w:rStyle w:val="a4"/>
          <w:b w:val="0"/>
          <w:sz w:val="30"/>
          <w:szCs w:val="30"/>
        </w:rPr>
        <w:t>.</w:t>
      </w:r>
    </w:p>
    <w:p w:rsidR="00647163" w:rsidRPr="008D46BA" w:rsidRDefault="00647163" w:rsidP="00647163">
      <w:pPr>
        <w:spacing w:line="192" w:lineRule="auto"/>
        <w:jc w:val="center"/>
        <w:rPr>
          <w:sz w:val="18"/>
          <w:szCs w:val="18"/>
        </w:rPr>
      </w:pPr>
    </w:p>
    <w:p w:rsidR="00DE30C1" w:rsidRDefault="00DE30C1" w:rsidP="00F93B1A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647163">
        <w:rPr>
          <w:rStyle w:val="a4"/>
          <w:b w:val="0"/>
          <w:sz w:val="30"/>
          <w:szCs w:val="30"/>
        </w:rPr>
        <w:t>ость на которые не разграничена</w:t>
      </w:r>
    </w:p>
    <w:p w:rsidR="00647163" w:rsidRPr="008D46BA" w:rsidRDefault="00647163" w:rsidP="00647163">
      <w:pPr>
        <w:spacing w:line="192" w:lineRule="auto"/>
        <w:jc w:val="center"/>
        <w:rPr>
          <w:rStyle w:val="a4"/>
          <w:b w:val="0"/>
          <w:sz w:val="18"/>
          <w:szCs w:val="18"/>
        </w:rPr>
      </w:pPr>
    </w:p>
    <w:tbl>
      <w:tblPr>
        <w:tblW w:w="4995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F93B1A">
        <w:trPr>
          <w:trHeight w:val="1917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недвижимости, руб. (П)</w:t>
            </w:r>
          </w:p>
          <w:p w:rsidR="00780A77" w:rsidRPr="00780A77" w:rsidRDefault="00780A77" w:rsidP="00647163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47163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государственная собственность</w:t>
            </w:r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 xml:space="preserve">на </w:t>
            </w:r>
            <w:proofErr w:type="gramStart"/>
            <w:r w:rsidRPr="008F6791">
              <w:rPr>
                <w:rStyle w:val="a4"/>
                <w:b w:val="0"/>
              </w:rPr>
              <w:t>которые</w:t>
            </w:r>
            <w:proofErr w:type="gramEnd"/>
            <w:r w:rsidRPr="008F6791">
              <w:rPr>
                <w:rStyle w:val="a4"/>
                <w:b w:val="0"/>
              </w:rPr>
              <w:t xml:space="preserve">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 разграничена,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 w:rsidRPr="008F6791">
              <w:t>Коэф</w:t>
            </w:r>
            <w:r w:rsidR="00647163">
              <w:t>-</w:t>
            </w:r>
            <w:r w:rsidRPr="008F6791">
              <w:t>фициент</w:t>
            </w:r>
            <w:proofErr w:type="spellEnd"/>
            <w:proofErr w:type="gramEnd"/>
            <w:r w:rsidRPr="008F6791">
              <w:t xml:space="preserve"> платы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647163">
              <w:t>-</w:t>
            </w:r>
            <w:r w:rsidRPr="008F6791">
              <w:t>личный</w:t>
            </w:r>
            <w:proofErr w:type="gramEnd"/>
            <w:r w:rsidRPr="008F6791">
              <w:t xml:space="preserve">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647163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647163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2E50C9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F93B1A">
        <w:trPr>
          <w:trHeight w:val="129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Pr="00FA1908" w:rsidRDefault="00B73342" w:rsidP="00647163">
            <w:pPr>
              <w:keepLines/>
            </w:pPr>
            <w:r>
              <w:t>24:50:0100484</w:t>
            </w:r>
            <w:r w:rsidR="00642D69" w:rsidRPr="00642D69">
              <w:t xml:space="preserve">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647163">
            <w:pPr>
              <w:jc w:val="right"/>
            </w:pPr>
            <w:r>
              <w:t>998,41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143EC1" w:rsidP="00647163">
            <w:pPr>
              <w:jc w:val="center"/>
            </w:pPr>
            <w:r>
              <w:t>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647163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143EC1" w:rsidP="00647163">
            <w:pPr>
              <w:jc w:val="right"/>
            </w:pPr>
            <w:r>
              <w:t>8,29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143EC1" w:rsidP="00647163">
            <w:pPr>
              <w:ind w:right="85"/>
              <w:jc w:val="right"/>
            </w:pPr>
            <w:r>
              <w:t>406,21</w:t>
            </w:r>
          </w:p>
        </w:tc>
      </w:tr>
    </w:tbl>
    <w:p w:rsidR="00F93B1A" w:rsidRPr="008D46BA" w:rsidRDefault="00F93B1A" w:rsidP="00C0101A">
      <w:pPr>
        <w:suppressAutoHyphens w:val="0"/>
        <w:ind w:firstLine="709"/>
        <w:jc w:val="both"/>
        <w:rPr>
          <w:sz w:val="18"/>
          <w:szCs w:val="18"/>
        </w:rPr>
      </w:pPr>
    </w:p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647163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B73342" w:rsidRPr="005369EC" w:rsidRDefault="00B73342" w:rsidP="00B73342">
      <w:pPr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>
        <w:rPr>
          <w:rStyle w:val="a4"/>
          <w:b w:val="0"/>
          <w:sz w:val="30"/>
          <w:szCs w:val="30"/>
        </w:rPr>
        <w:t>2</w:t>
      </w:r>
      <w:r w:rsidRPr="008F6791">
        <w:rPr>
          <w:rStyle w:val="a4"/>
          <w:b w:val="0"/>
          <w:sz w:val="30"/>
          <w:szCs w:val="30"/>
        </w:rPr>
        <w:t xml:space="preserve">. </w:t>
      </w:r>
      <w:r w:rsidRPr="005369EC">
        <w:rPr>
          <w:bCs/>
          <w:sz w:val="30"/>
          <w:szCs w:val="30"/>
        </w:rPr>
        <w:t>Расчет платы за публичный сервитут в отношении част</w:t>
      </w:r>
      <w:r>
        <w:rPr>
          <w:bCs/>
          <w:sz w:val="30"/>
          <w:szCs w:val="30"/>
        </w:rPr>
        <w:t>и</w:t>
      </w:r>
      <w:r w:rsidRPr="005369EC">
        <w:rPr>
          <w:bCs/>
          <w:sz w:val="30"/>
          <w:szCs w:val="30"/>
        </w:rPr>
        <w:t xml:space="preserve"> земельн</w:t>
      </w:r>
      <w:r>
        <w:rPr>
          <w:bCs/>
          <w:sz w:val="30"/>
          <w:szCs w:val="30"/>
        </w:rPr>
        <w:t>ого</w:t>
      </w:r>
      <w:r w:rsidRPr="005369EC">
        <w:rPr>
          <w:bCs/>
          <w:sz w:val="30"/>
          <w:szCs w:val="30"/>
        </w:rPr>
        <w:t xml:space="preserve"> участк</w:t>
      </w:r>
      <w:r>
        <w:rPr>
          <w:bCs/>
          <w:sz w:val="30"/>
          <w:szCs w:val="30"/>
        </w:rPr>
        <w:t>а</w:t>
      </w:r>
      <w:r w:rsidRPr="005369EC">
        <w:rPr>
          <w:bCs/>
          <w:sz w:val="30"/>
          <w:szCs w:val="30"/>
        </w:rPr>
        <w:t>, государственная собственность на которы</w:t>
      </w:r>
      <w:r>
        <w:rPr>
          <w:bCs/>
          <w:sz w:val="30"/>
          <w:szCs w:val="30"/>
        </w:rPr>
        <w:t>й</w:t>
      </w:r>
      <w:r w:rsidRPr="005369EC">
        <w:rPr>
          <w:bCs/>
          <w:sz w:val="30"/>
          <w:szCs w:val="30"/>
        </w:rPr>
        <w:t xml:space="preserve"> </w:t>
      </w:r>
      <w:r w:rsidR="00647163">
        <w:rPr>
          <w:bCs/>
          <w:sz w:val="30"/>
          <w:szCs w:val="30"/>
        </w:rPr>
        <w:t xml:space="preserve">                    </w:t>
      </w:r>
      <w:r w:rsidRPr="005369EC">
        <w:rPr>
          <w:bCs/>
          <w:sz w:val="30"/>
          <w:szCs w:val="30"/>
        </w:rPr>
        <w:t>не разграничена, исчисляется по формуле:</w:t>
      </w:r>
    </w:p>
    <w:p w:rsidR="00B73342" w:rsidRPr="005369EC" w:rsidRDefault="00B73342" w:rsidP="00B73342">
      <w:pPr>
        <w:ind w:firstLine="709"/>
        <w:jc w:val="both"/>
        <w:textAlignment w:val="auto"/>
        <w:rPr>
          <w:bCs/>
          <w:sz w:val="30"/>
          <w:szCs w:val="30"/>
        </w:rPr>
      </w:pPr>
    </w:p>
    <w:p w:rsidR="00F93B1A" w:rsidRPr="00F93B1A" w:rsidRDefault="008044FE" w:rsidP="00F93B1A">
      <w:pPr>
        <w:suppressAutoHyphens w:val="0"/>
        <w:autoSpaceDN/>
        <w:spacing w:line="192" w:lineRule="auto"/>
        <w:jc w:val="both"/>
        <w:textAlignment w:val="auto"/>
        <w:rPr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з.у.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B73342" w:rsidRPr="005369EC" w:rsidRDefault="00B73342" w:rsidP="00B73342">
      <w:pPr>
        <w:ind w:firstLine="709"/>
        <w:jc w:val="both"/>
        <w:textAlignment w:val="auto"/>
        <w:rPr>
          <w:bCs/>
          <w:sz w:val="30"/>
          <w:szCs w:val="30"/>
        </w:rPr>
      </w:pPr>
    </w:p>
    <w:p w:rsidR="00B73342" w:rsidRPr="005369EC" w:rsidRDefault="00B73342" w:rsidP="00B73342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где:</w:t>
      </w:r>
    </w:p>
    <w:p w:rsidR="00B73342" w:rsidRPr="005369EC" w:rsidRDefault="00B73342" w:rsidP="00B73342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Р</w:t>
      </w:r>
      <w:r w:rsidRPr="005369EC">
        <w:rPr>
          <w:bCs/>
          <w:sz w:val="30"/>
          <w:szCs w:val="30"/>
          <w:vertAlign w:val="subscript"/>
        </w:rPr>
        <w:t>п</w:t>
      </w:r>
      <w:proofErr w:type="spellEnd"/>
      <w:r w:rsidR="00F93B1A" w:rsidRPr="00F93B1A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размер платы за публичный сервитут, рублей в год;</w:t>
      </w:r>
    </w:p>
    <w:p w:rsidR="00B73342" w:rsidRPr="005369EC" w:rsidRDefault="00B73342" w:rsidP="00B73342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КСТ</w:t>
      </w:r>
      <w:r w:rsidR="008D46BA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R="00B73342" w:rsidRPr="005369EC" w:rsidRDefault="00B73342" w:rsidP="00B73342">
      <w:pPr>
        <w:widowControl w:val="0"/>
        <w:suppressAutoHyphens w:val="0"/>
        <w:autoSpaceDE w:val="0"/>
        <w:adjustRightInd w:val="0"/>
        <w:ind w:firstLine="709"/>
        <w:jc w:val="both"/>
        <w:textAlignment w:val="auto"/>
      </w:pPr>
      <w:proofErr w:type="gramStart"/>
      <w:r w:rsidRPr="005369EC">
        <w:rPr>
          <w:bCs/>
          <w:sz w:val="30"/>
          <w:szCs w:val="30"/>
        </w:rPr>
        <w:t>К</w:t>
      </w:r>
      <w:proofErr w:type="gramEnd"/>
      <w:r w:rsidRPr="005369EC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369EC">
        <w:rPr>
          <w:bCs/>
          <w:sz w:val="30"/>
          <w:szCs w:val="30"/>
        </w:rPr>
        <w:t xml:space="preserve"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 w:rsidRPr="005369EC">
        <w:rPr>
          <w:sz w:val="30"/>
          <w:szCs w:val="30"/>
        </w:rPr>
        <w:t xml:space="preserve">при этом плата </w:t>
      </w:r>
      <w:r w:rsidR="00F93B1A">
        <w:rPr>
          <w:sz w:val="30"/>
          <w:szCs w:val="30"/>
        </w:rPr>
        <w:t xml:space="preserve">            </w:t>
      </w:r>
      <w:r w:rsidRPr="005369EC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5369EC">
        <w:rPr>
          <w:bCs/>
          <w:sz w:val="30"/>
          <w:szCs w:val="30"/>
        </w:rPr>
        <w:t>%</w:t>
      </w:r>
      <w:r w:rsidRPr="005369EC"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R="00B73342" w:rsidRPr="005369EC" w:rsidRDefault="00B73342" w:rsidP="00B73342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з.</w:t>
      </w:r>
      <w:proofErr w:type="gramStart"/>
      <w:r w:rsidRPr="005369EC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369EC">
        <w:rPr>
          <w:bCs/>
          <w:sz w:val="30"/>
          <w:szCs w:val="30"/>
          <w:vertAlign w:val="subscript"/>
        </w:rPr>
        <w:t xml:space="preserve">. </w:t>
      </w:r>
      <w:r w:rsidRPr="005369EC">
        <w:rPr>
          <w:bCs/>
          <w:sz w:val="30"/>
          <w:szCs w:val="30"/>
        </w:rPr>
        <w:t xml:space="preserve">– </w:t>
      </w:r>
      <w:proofErr w:type="gramStart"/>
      <w:r w:rsidRPr="005369EC">
        <w:rPr>
          <w:bCs/>
          <w:sz w:val="30"/>
          <w:szCs w:val="30"/>
        </w:rPr>
        <w:t>площадь</w:t>
      </w:r>
      <w:proofErr w:type="gramEnd"/>
      <w:r w:rsidRPr="005369EC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B73342" w:rsidRPr="005369EC" w:rsidRDefault="00B73342" w:rsidP="00B73342">
      <w:pPr>
        <w:widowControl w:val="0"/>
        <w:suppressAutoHyphens w:val="0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серв</w:t>
      </w:r>
      <w:proofErr w:type="spellEnd"/>
      <w:r w:rsidRPr="005369EC">
        <w:rPr>
          <w:bCs/>
          <w:sz w:val="30"/>
          <w:szCs w:val="30"/>
        </w:rPr>
        <w:t xml:space="preserve"> – площадь части земельного участка (публичного сервитута), кв. м.</w:t>
      </w:r>
    </w:p>
    <w:p w:rsidR="00B73342" w:rsidRDefault="00B73342" w:rsidP="00B73342">
      <w:pPr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 xml:space="preserve">Размер платы за публичный </w:t>
      </w:r>
      <w:r>
        <w:rPr>
          <w:bCs/>
          <w:sz w:val="30"/>
          <w:szCs w:val="30"/>
        </w:rPr>
        <w:t>сервитут представлен в таблице 2</w:t>
      </w:r>
      <w:r w:rsidRPr="005369EC">
        <w:rPr>
          <w:bCs/>
          <w:sz w:val="30"/>
          <w:szCs w:val="30"/>
        </w:rPr>
        <w:t>.</w:t>
      </w:r>
    </w:p>
    <w:p w:rsidR="00F93B1A" w:rsidRPr="005369EC" w:rsidRDefault="00F93B1A" w:rsidP="00B73342">
      <w:pPr>
        <w:ind w:firstLine="709"/>
        <w:jc w:val="both"/>
        <w:textAlignment w:val="auto"/>
      </w:pPr>
    </w:p>
    <w:p w:rsidR="00F93B1A" w:rsidRDefault="00B73342" w:rsidP="00647163">
      <w:pPr>
        <w:spacing w:line="192" w:lineRule="auto"/>
        <w:jc w:val="center"/>
        <w:textAlignment w:val="auto"/>
        <w:rPr>
          <w:bCs/>
          <w:sz w:val="30"/>
          <w:szCs w:val="30"/>
        </w:rPr>
      </w:pPr>
      <w:r w:rsidRPr="005369EC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2</w:t>
      </w:r>
      <w:r w:rsidRPr="005369EC">
        <w:rPr>
          <w:sz w:val="30"/>
          <w:szCs w:val="30"/>
        </w:rPr>
        <w:t>. Размер платы за публичный сервитут в отношении част</w:t>
      </w:r>
      <w:r>
        <w:rPr>
          <w:sz w:val="30"/>
          <w:szCs w:val="30"/>
        </w:rPr>
        <w:t xml:space="preserve">и </w:t>
      </w:r>
      <w:r w:rsidRPr="005369EC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5369E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5369EC">
        <w:rPr>
          <w:bCs/>
          <w:sz w:val="30"/>
          <w:szCs w:val="30"/>
        </w:rPr>
        <w:t>, государственная собственность на которы</w:t>
      </w:r>
      <w:r>
        <w:rPr>
          <w:bCs/>
          <w:sz w:val="30"/>
          <w:szCs w:val="30"/>
        </w:rPr>
        <w:t xml:space="preserve">й </w:t>
      </w:r>
    </w:p>
    <w:p w:rsidR="00B73342" w:rsidRDefault="00B73342" w:rsidP="00647163">
      <w:pPr>
        <w:spacing w:line="192" w:lineRule="auto"/>
        <w:jc w:val="center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не разграничена</w:t>
      </w:r>
    </w:p>
    <w:p w:rsidR="00F93B1A" w:rsidRPr="005369EC" w:rsidRDefault="00F93B1A" w:rsidP="00647163">
      <w:pPr>
        <w:spacing w:line="192" w:lineRule="auto"/>
        <w:jc w:val="center"/>
        <w:textAlignment w:val="auto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135"/>
        <w:gridCol w:w="1134"/>
        <w:gridCol w:w="1133"/>
        <w:gridCol w:w="1135"/>
        <w:gridCol w:w="1134"/>
      </w:tblGrid>
      <w:tr w:rsidR="00B73342" w:rsidRPr="005369EC" w:rsidTr="00F93B1A">
        <w:trPr>
          <w:trHeight w:val="18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>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1A" w:rsidRDefault="00B73342" w:rsidP="00647163">
            <w:pPr>
              <w:spacing w:line="192" w:lineRule="auto"/>
              <w:jc w:val="center"/>
              <w:textAlignment w:val="auto"/>
            </w:pPr>
            <w:proofErr w:type="spellStart"/>
            <w:proofErr w:type="gramStart"/>
            <w:r w:rsidRPr="005369EC">
              <w:t>Кадаст</w:t>
            </w:r>
            <w:r w:rsidR="00F93B1A">
              <w:t>-</w:t>
            </w:r>
            <w:r w:rsidRPr="005369EC">
              <w:t>ровая</w:t>
            </w:r>
            <w:proofErr w:type="spellEnd"/>
            <w:proofErr w:type="gramEnd"/>
            <w:r w:rsidRPr="005369EC">
              <w:t xml:space="preserve"> стоимость земельного участка, </w:t>
            </w:r>
          </w:p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>руб. (КСТ)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proofErr w:type="spellStart"/>
            <w:r w:rsidRPr="005369EC">
              <w:t>Пло</w:t>
            </w:r>
            <w:r w:rsidR="00F93B1A">
              <w:t>-</w:t>
            </w:r>
            <w:r w:rsidRPr="005369EC">
              <w:t>щадь</w:t>
            </w:r>
            <w:proofErr w:type="spellEnd"/>
            <w:r w:rsidRPr="005369EC">
              <w:t xml:space="preserve"> земель</w:t>
            </w:r>
            <w:r w:rsidR="00F93B1A">
              <w:t>-</w:t>
            </w:r>
            <w:proofErr w:type="spellStart"/>
            <w:r w:rsidRPr="005369EC">
              <w:t>ного</w:t>
            </w:r>
            <w:proofErr w:type="spellEnd"/>
            <w:r w:rsidRPr="005369EC">
              <w:t xml:space="preserve"> участка, 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з.</w:t>
            </w:r>
            <w:proofErr w:type="gramStart"/>
            <w:r w:rsidRPr="005369EC">
              <w:rPr>
                <w:bCs/>
                <w:vertAlign w:val="subscript"/>
              </w:rPr>
              <w:t>у</w:t>
            </w:r>
            <w:proofErr w:type="spellEnd"/>
            <w:proofErr w:type="gramEnd"/>
            <w:r w:rsidRPr="005369EC">
              <w:rPr>
                <w:bCs/>
                <w:vertAlign w:val="subscript"/>
              </w:rPr>
              <w:t>.</w:t>
            </w:r>
            <w:r w:rsidRPr="008D46BA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1A" w:rsidRDefault="00B73342" w:rsidP="00647163">
            <w:pPr>
              <w:spacing w:line="192" w:lineRule="auto"/>
              <w:jc w:val="center"/>
              <w:textAlignment w:val="auto"/>
            </w:pPr>
            <w:proofErr w:type="spellStart"/>
            <w:proofErr w:type="gramStart"/>
            <w:r w:rsidRPr="005369EC">
              <w:t>Пло</w:t>
            </w:r>
            <w:r w:rsidR="00F93B1A">
              <w:t>-</w:t>
            </w:r>
            <w:r w:rsidRPr="005369EC">
              <w:t>щадь</w:t>
            </w:r>
            <w:proofErr w:type="spellEnd"/>
            <w:proofErr w:type="gramEnd"/>
            <w:r w:rsidRPr="005369EC">
              <w:t xml:space="preserve"> </w:t>
            </w:r>
            <w:proofErr w:type="spellStart"/>
            <w:r w:rsidRPr="005369EC">
              <w:t>пуб</w:t>
            </w:r>
            <w:proofErr w:type="spellEnd"/>
            <w:r w:rsidR="00F93B1A">
              <w:t>-</w:t>
            </w:r>
            <w:r w:rsidRPr="005369EC">
              <w:t xml:space="preserve">личного </w:t>
            </w:r>
            <w:proofErr w:type="spellStart"/>
            <w:r w:rsidRPr="005369EC">
              <w:t>серви</w:t>
            </w:r>
            <w:proofErr w:type="spellEnd"/>
            <w:r w:rsidR="00F93B1A">
              <w:t>-</w:t>
            </w:r>
            <w:r w:rsidRPr="005369EC">
              <w:t xml:space="preserve">тута, </w:t>
            </w:r>
          </w:p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серв</w:t>
            </w:r>
            <w:bookmarkStart w:id="0" w:name="_GoBack"/>
            <w:proofErr w:type="spellEnd"/>
            <w:r w:rsidRPr="008D46BA">
              <w:rPr>
                <w:bCs/>
              </w:rPr>
              <w:t>)</w:t>
            </w:r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B1A" w:rsidRDefault="00B73342" w:rsidP="00647163">
            <w:pPr>
              <w:spacing w:line="192" w:lineRule="auto"/>
              <w:jc w:val="center"/>
              <w:textAlignment w:val="auto"/>
            </w:pPr>
            <w:proofErr w:type="spellStart"/>
            <w:proofErr w:type="gramStart"/>
            <w:r w:rsidRPr="005369EC">
              <w:t>Коэф</w:t>
            </w:r>
            <w:r w:rsidR="00F93B1A">
              <w:t>-</w:t>
            </w:r>
            <w:r w:rsidRPr="005369EC">
              <w:t>фициент</w:t>
            </w:r>
            <w:proofErr w:type="spellEnd"/>
            <w:proofErr w:type="gramEnd"/>
            <w:r w:rsidRPr="005369EC">
              <w:t xml:space="preserve"> платы </w:t>
            </w:r>
          </w:p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</w:t>
            </w:r>
            <w:proofErr w:type="spellEnd"/>
            <w:r w:rsidR="00F93B1A">
              <w:t>-</w:t>
            </w:r>
            <w:r w:rsidRPr="005369EC">
              <w:t>личный</w:t>
            </w:r>
            <w:proofErr w:type="gramEnd"/>
            <w:r w:rsidRPr="005369EC">
              <w:t xml:space="preserve"> сервитут, </w:t>
            </w:r>
          </w:p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>% (К)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1A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 xml:space="preserve">Размер платы </w:t>
            </w:r>
          </w:p>
          <w:p w:rsidR="00B73342" w:rsidRPr="005369EC" w:rsidRDefault="00B73342" w:rsidP="00647163">
            <w:pPr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</w:t>
            </w:r>
            <w:proofErr w:type="spellEnd"/>
            <w:r w:rsidR="00F93B1A">
              <w:t>-</w:t>
            </w:r>
            <w:r w:rsidRPr="005369EC">
              <w:t>личный</w:t>
            </w:r>
            <w:proofErr w:type="gramEnd"/>
            <w:r w:rsidRPr="005369EC">
              <w:t xml:space="preserve"> сервитут в год, руб. (Р</w:t>
            </w:r>
            <w:r w:rsidRPr="005369EC">
              <w:rPr>
                <w:vertAlign w:val="subscript"/>
              </w:rPr>
              <w:t>П</w:t>
            </w:r>
            <w:r w:rsidR="00F93B1A">
              <w:t>)</w:t>
            </w:r>
            <w:r w:rsidRPr="005369EC">
              <w:t xml:space="preserve"> </w:t>
            </w:r>
          </w:p>
          <w:p w:rsidR="00B73342" w:rsidRPr="00F93B1A" w:rsidRDefault="00B73342" w:rsidP="00647163">
            <w:pPr>
              <w:spacing w:line="192" w:lineRule="auto"/>
              <w:jc w:val="center"/>
              <w:textAlignment w:val="auto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42" w:rsidRPr="005369EC" w:rsidRDefault="00B73342" w:rsidP="00647163">
            <w:pPr>
              <w:widowControl w:val="0"/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Размер </w:t>
            </w:r>
          </w:p>
          <w:p w:rsidR="00B73342" w:rsidRPr="005369EC" w:rsidRDefault="00B73342" w:rsidP="00647163">
            <w:pPr>
              <w:widowControl w:val="0"/>
              <w:suppressAutoHyphens w:val="0"/>
              <w:spacing w:line="192" w:lineRule="auto"/>
              <w:jc w:val="center"/>
              <w:textAlignment w:val="auto"/>
            </w:pPr>
            <w:r w:rsidRPr="005369EC">
              <w:t xml:space="preserve">платы </w:t>
            </w:r>
          </w:p>
          <w:p w:rsidR="00B73342" w:rsidRPr="005369EC" w:rsidRDefault="00B73342" w:rsidP="00647163">
            <w:pPr>
              <w:tabs>
                <w:tab w:val="left" w:pos="-10"/>
              </w:tabs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</w:t>
            </w:r>
            <w:proofErr w:type="spellEnd"/>
            <w:r w:rsidR="00F93B1A">
              <w:t>-лич</w:t>
            </w:r>
            <w:r w:rsidRPr="005369EC">
              <w:t>ный</w:t>
            </w:r>
            <w:proofErr w:type="gramEnd"/>
            <w:r w:rsidRPr="005369EC">
              <w:t xml:space="preserve"> сервитут за весь период, руб. (Р</w:t>
            </w:r>
            <w:r w:rsidRPr="002E50C9">
              <w:rPr>
                <w:vertAlign w:val="subscript"/>
              </w:rPr>
              <w:t>П</w:t>
            </w:r>
            <w:r w:rsidRPr="005369EC">
              <w:t>)</w:t>
            </w:r>
          </w:p>
        </w:tc>
      </w:tr>
      <w:tr w:rsidR="00B73342" w:rsidRPr="005369EC" w:rsidTr="00F93B1A">
        <w:trPr>
          <w:trHeight w:val="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342" w:rsidRPr="005369EC" w:rsidRDefault="00B73342" w:rsidP="00647163">
            <w:pPr>
              <w:spacing w:line="228" w:lineRule="auto"/>
              <w:jc w:val="center"/>
              <w:textAlignment w:val="auto"/>
            </w:pPr>
            <w:r w:rsidRPr="00B73342">
              <w:t>24:50:0100484:373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342" w:rsidRPr="005369EC" w:rsidRDefault="00AF142E" w:rsidP="00F93B1A">
            <w:pPr>
              <w:spacing w:line="228" w:lineRule="auto"/>
              <w:jc w:val="right"/>
              <w:textAlignment w:val="auto"/>
            </w:pPr>
            <w:r>
              <w:t>1</w:t>
            </w:r>
            <w:r w:rsidR="00F93B1A">
              <w:t xml:space="preserve"> </w:t>
            </w:r>
            <w:r>
              <w:t>414</w:t>
            </w:r>
            <w:r w:rsidR="00F93B1A">
              <w:t xml:space="preserve"> </w:t>
            </w:r>
            <w:r>
              <w:t>550,20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342" w:rsidRPr="005369EC" w:rsidRDefault="00AF142E" w:rsidP="00647163">
            <w:pPr>
              <w:spacing w:line="228" w:lineRule="auto"/>
              <w:jc w:val="center"/>
              <w:textAlignment w:val="auto"/>
            </w:pPr>
            <w:r>
              <w:t>2</w:t>
            </w:r>
            <w:r w:rsidR="00F93B1A">
              <w:t xml:space="preserve"> </w:t>
            </w:r>
            <w:r>
              <w:t>555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342" w:rsidRPr="005369EC" w:rsidRDefault="00AF142E" w:rsidP="00647163">
            <w:pPr>
              <w:spacing w:line="228" w:lineRule="auto"/>
              <w:jc w:val="center"/>
              <w:textAlignment w:val="auto"/>
            </w:pPr>
            <w:r>
              <w:t>248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342" w:rsidRPr="005369EC" w:rsidRDefault="00B73342" w:rsidP="00647163">
            <w:pPr>
              <w:spacing w:line="228" w:lineRule="auto"/>
              <w:jc w:val="center"/>
              <w:textAlignment w:val="auto"/>
            </w:pPr>
            <w:r w:rsidRPr="005369EC">
              <w:t>0,</w:t>
            </w:r>
            <w: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342" w:rsidRPr="005369EC" w:rsidRDefault="00AF142E" w:rsidP="00F93B1A">
            <w:pPr>
              <w:spacing w:line="228" w:lineRule="auto"/>
              <w:jc w:val="right"/>
              <w:textAlignment w:val="auto"/>
            </w:pPr>
            <w:r>
              <w:t>13,73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2" w:rsidRPr="005369EC" w:rsidRDefault="00AF142E" w:rsidP="00F93B1A">
            <w:pPr>
              <w:spacing w:line="228" w:lineRule="auto"/>
              <w:ind w:left="85" w:right="85"/>
              <w:jc w:val="right"/>
              <w:textAlignment w:val="auto"/>
            </w:pPr>
            <w:r>
              <w:t>672,77</w:t>
            </w:r>
          </w:p>
        </w:tc>
      </w:tr>
    </w:tbl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lastRenderedPageBreak/>
        <w:t>Банковские реквизиты для оплаты</w:t>
      </w:r>
      <w:r w:rsidRPr="002E50C9">
        <w:rPr>
          <w:sz w:val="30"/>
          <w:szCs w:val="30"/>
        </w:rPr>
        <w:t>: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ИНН 2466010657/КПП 246601001, ОКТМО 04701000;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расчетный счет № 03100643000000011900; 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банк получателя: Отделение Красноярск Банка Рос</w:t>
      </w:r>
      <w:r w:rsidR="00F93B1A">
        <w:rPr>
          <w:sz w:val="30"/>
          <w:szCs w:val="30"/>
        </w:rPr>
        <w:t>сии/</w:t>
      </w:r>
      <w:r w:rsidRPr="005369EC"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БИК 010407105, к/с № 40102810245370000011;</w:t>
      </w:r>
    </w:p>
    <w:p w:rsidR="00B73342" w:rsidRPr="005369EC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основной платеж – КБК 905 111 05410</w:t>
      </w:r>
      <w:r w:rsidRPr="005369EC">
        <w:rPr>
          <w:b/>
          <w:sz w:val="30"/>
          <w:szCs w:val="30"/>
        </w:rPr>
        <w:t xml:space="preserve"> </w:t>
      </w:r>
      <w:r w:rsidRPr="005369EC">
        <w:rPr>
          <w:sz w:val="30"/>
          <w:szCs w:val="30"/>
        </w:rPr>
        <w:t>04 0000 120;</w:t>
      </w:r>
    </w:p>
    <w:p w:rsidR="00B73342" w:rsidRDefault="00B73342" w:rsidP="00B73342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пеня – КБК 905 1 16 07090 04 0000 140.</w:t>
      </w:r>
    </w:p>
    <w:p w:rsidR="00C0101A" w:rsidRPr="00305B92" w:rsidRDefault="00B73342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647163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FE" w:rsidRDefault="008044FE">
      <w:r>
        <w:separator/>
      </w:r>
    </w:p>
  </w:endnote>
  <w:endnote w:type="continuationSeparator" w:id="0">
    <w:p w:rsidR="008044FE" w:rsidRDefault="008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FE" w:rsidRDefault="008044FE">
      <w:r>
        <w:rPr>
          <w:color w:val="000000"/>
        </w:rPr>
        <w:separator/>
      </w:r>
    </w:p>
  </w:footnote>
  <w:footnote w:type="continuationSeparator" w:id="0">
    <w:p w:rsidR="008044FE" w:rsidRDefault="0080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098661"/>
      <w:docPartObj>
        <w:docPartGallery w:val="Page Numbers (Top of Page)"/>
        <w:docPartUnique/>
      </w:docPartObj>
    </w:sdtPr>
    <w:sdtEndPr/>
    <w:sdtContent>
      <w:p w:rsidR="00F64E68" w:rsidRPr="000D7A1C" w:rsidRDefault="00647163" w:rsidP="006471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6BA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43EC1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E50C9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47163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044FE"/>
    <w:rsid w:val="00823626"/>
    <w:rsid w:val="00831C72"/>
    <w:rsid w:val="00845278"/>
    <w:rsid w:val="008471B9"/>
    <w:rsid w:val="008623BE"/>
    <w:rsid w:val="008944CF"/>
    <w:rsid w:val="0089584C"/>
    <w:rsid w:val="008D46BA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86B93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D74E2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93B1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B891064-3221-48B3-8DF9-591D69E054DE}"/>
</file>

<file path=customXml/itemProps2.xml><?xml version="1.0" encoding="utf-8"?>
<ds:datastoreItem xmlns:ds="http://schemas.openxmlformats.org/officeDocument/2006/customXml" ds:itemID="{3B583129-B1D8-4128-A64C-2D19801CB60E}"/>
</file>

<file path=customXml/itemProps3.xml><?xml version="1.0" encoding="utf-8"?>
<ds:datastoreItem xmlns:ds="http://schemas.openxmlformats.org/officeDocument/2006/customXml" ds:itemID="{8A826F01-0B0C-4E1A-BD9E-EDDC2548BEA0}"/>
</file>

<file path=customXml/itemProps4.xml><?xml version="1.0" encoding="utf-8"?>
<ds:datastoreItem xmlns:ds="http://schemas.openxmlformats.org/officeDocument/2006/customXml" ds:itemID="{3410DD55-BEC2-4E40-9541-3768014AC0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5</cp:revision>
  <cp:lastPrinted>2026-03-06T04:18:00Z</cp:lastPrinted>
  <dcterms:created xsi:type="dcterms:W3CDTF">2026-03-10T03:44:00Z</dcterms:created>
  <dcterms:modified xsi:type="dcterms:W3CDTF">2026-03-10T09:13:00Z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