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F17627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17627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17627" w:rsidR="00F17627" w:rsidRDefault="00F1762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17627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17627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F17627" w:rsidR="00AA046C" w:rsidRDefault="00AA046C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17627" w:rsidR="00F17627" w:rsidRDefault="00F17627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17627" w:rsidR="00F17627" w:rsidRDefault="00F1762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AA046C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17627">
        <w:rPr>
          <w:rStyle w:val="a4"/>
          <w:b w:val="false"/>
          <w:sz w:val="30"/>
          <w:szCs w:val="30"/>
        </w:rPr>
        <w:t xml:space="preserve">                 </w:t>
      </w:r>
      <w:r w:rsidR="00DE30C1"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F17627">
        <w:rPr>
          <w:rStyle w:val="a4"/>
          <w:b w:val="false"/>
          <w:sz w:val="30"/>
          <w:szCs w:val="30"/>
        </w:rPr>
        <w:t xml:space="preserve">  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34100E">
        <w:rPr>
          <w:rStyle w:val="a4"/>
          <w:b w:val="false"/>
          <w:sz w:val="30"/>
          <w:szCs w:val="30"/>
        </w:rPr>
        <w:t xml:space="preserve">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F17627">
        <w:rPr>
          <w:sz w:val="30"/>
          <w:szCs w:val="30"/>
        </w:rPr>
        <w:t xml:space="preserve"> 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34100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F17627" w:rsidRDefault="00F17627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3"/>
        <w:gridCol w:w="1843"/>
        <w:gridCol w:w="2126"/>
        <w:gridCol w:w="992"/>
        <w:gridCol w:w="1276"/>
        <w:gridCol w:w="1276"/>
      </w:tblGrid>
      <w:tr w:rsidR="00FA1908" w:rsidRPr="008F6791" w:rsidTr="00F17627">
        <w:trPr>
          <w:trHeight w:val="1869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1762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F17627" w:rsidR="00780A77" w:rsidRDefault="00DE30C1" w:rsidRPr="00F17627">
            <w:pPr>
              <w:widowControl w:val="false"/>
              <w:suppressAutoHyphens w:val="false"/>
              <w:spacing w:line="192" w:lineRule="auto"/>
              <w:jc w:val="center"/>
              <w:rPr>
                <w:bCs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сегментам объектов недвижимости, руб. (П)</w:t>
            </w:r>
          </w:p>
        </w:tc>
        <w:tc>
          <w:tcPr>
            <w:tcW w:type="pct" w:w="11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F17627" w:rsidR="00F17627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</w:p>
          <w:p w:rsidP="00F17627" w:rsidR="00F17627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на которые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F17627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F17627">
              <w:t>-</w:t>
            </w:r>
            <w:r w:rsidRPr="008F6791">
              <w:t>личный</w:t>
            </w:r>
            <w:proofErr w:type="gramEnd"/>
            <w:r w:rsidRPr="008F6791">
              <w:t xml:space="preserve">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F17627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F1762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F1762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FA1908" w:rsidRPr="008F6791" w:rsidTr="0034100E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17627" w:rsidR="004F782E" w:rsidRDefault="0087346E" w:rsidRPr="00FA1908">
            <w:pPr>
              <w:widowControl w:val="false"/>
              <w:suppressAutoHyphens w:val="false"/>
            </w:pPr>
            <w:bookmarkStart w:colFirst="5" w:colLast="5" w:id="0" w:name="_GoBack"/>
            <w:r w:rsidRPr="0087346E">
              <w:t>24:50:0500307, 24:50:0500308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4100E" w:rsidR="00DE30C1" w:rsidRDefault="00DE30C1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11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4100E" w:rsidR="00DE30C1" w:rsidRDefault="0087346E" w:rsidRPr="00D53E4E">
            <w:pPr>
              <w:widowControl w:val="false"/>
              <w:suppressAutoHyphens w:val="false"/>
              <w:jc w:val="center"/>
            </w:pPr>
            <w:r>
              <w:t>509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4100E" w:rsidR="00DE30C1" w:rsidRDefault="004F782E" w:rsidRPr="008F6791">
            <w:pPr>
              <w:widowControl w:val="false"/>
              <w:suppressAutoHyphens w:val="false"/>
              <w:jc w:val="center"/>
            </w:pPr>
            <w:r>
              <w:t>0,1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4100E" w:rsidR="00DD3926" w:rsidRDefault="0087346E" w:rsidRPr="009423E0">
            <w:pPr>
              <w:widowControl w:val="false"/>
              <w:suppressAutoHyphens w:val="false"/>
              <w:jc w:val="right"/>
            </w:pPr>
            <w:r>
              <w:t>508,19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4100E" w:rsidR="00DD3926" w:rsidRDefault="0087346E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423,49</w:t>
            </w:r>
          </w:p>
        </w:tc>
      </w:tr>
      <w:bookmarkEnd w:id="0"/>
    </w:tbl>
    <w:p w:rsidP="00C0101A" w:rsidR="00F17627" w:rsidRDefault="00F17627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E97F4A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34100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2485" w:rsidRDefault="000B2485">
      <w:r>
        <w:separator/>
      </w:r>
    </w:p>
  </w:endnote>
  <w:endnote w:type="continuationSeparator" w:id="0">
    <w:p w:rsidR="000B2485" w:rsidRDefault="000B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2485" w:rsidRDefault="000B2485">
      <w:r>
        <w:rPr>
          <w:color w:val="000000"/>
        </w:rPr>
        <w:separator/>
      </w:r>
    </w:p>
  </w:footnote>
  <w:footnote w:type="continuationSeparator" w:id="0">
    <w:p w:rsidR="000B2485" w:rsidRDefault="000B248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5430552"/>
      <w:docPartObj>
        <w:docPartGallery w:val="Page Numbers (Top of Page)"/>
        <w:docPartUnique/>
      </w:docPartObj>
    </w:sdtPr>
    <w:sdtEndPr/>
    <w:sdtContent>
      <w:p w:rsidR="00F17627" w:rsidRDefault="00F176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0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B2485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100E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23D2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7346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54C6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97F4A"/>
    <w:rsid w:val="00EA2614"/>
    <w:rsid w:val="00EB74D5"/>
    <w:rsid w:val="00EC15BB"/>
    <w:rsid w:val="00EC3A80"/>
    <w:rsid w:val="00EE6F07"/>
    <w:rsid w:val="00F07B4E"/>
    <w:rsid w:val="00F17627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1332F8C0-F04E-46D6-BB8D-135E7DA2EECD}"/>
</file>

<file path=customXml/itemProps2.xml><?xml version="1.0" encoding="utf-8"?>
<ds:datastoreItem xmlns:ds="http://schemas.openxmlformats.org/officeDocument/2006/customXml" ds:itemID="{DFDA5943-19B7-4CE8-9FF2-A4F14691BCAC}"/>
</file>

<file path=customXml/itemProps3.xml><?xml version="1.0" encoding="utf-8"?>
<ds:datastoreItem xmlns:ds="http://schemas.openxmlformats.org/officeDocument/2006/customXml" ds:itemID="{58D5B8A3-B0C1-4AFE-A2C9-7FD37296D112}"/>
</file>

<file path=customXml/itemProps4.xml><?xml version="1.0" encoding="utf-8"?>
<ds:datastoreItem xmlns:ds="http://schemas.openxmlformats.org/officeDocument/2006/customXml" ds:itemID="{3B58B7E7-72A4-40B9-B0B7-DF51150E2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20</cp:revision>
  <cp:lastPrinted>2026-02-26T10:01:00Z</cp:lastPrinted>
  <dcterms:created xsi:type="dcterms:W3CDTF">2025-07-31T04:09:00Z</dcterms:created>
  <dcterms:modified xsi:type="dcterms:W3CDTF">2026-03-03T08:46:00Z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