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8F6791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расчета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и внесения платы за публичный сервитут</w:t>
      </w:r>
    </w:p>
    <w:p w:rsidR="006E5CB7" w:rsidRDefault="006E5CB7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075AC3" w:rsidRPr="008F6791" w:rsidRDefault="00075AC3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0B2CE7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</w:t>
      </w:r>
      <w:proofErr w:type="spellStart"/>
      <w:r w:rsidRPr="008F6791">
        <w:rPr>
          <w:rStyle w:val="a4"/>
          <w:b w:val="0"/>
          <w:sz w:val="30"/>
          <w:szCs w:val="30"/>
        </w:rPr>
        <w:t>Расчет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0B2CE7" w:rsidRPr="00390869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Cs w:val="30"/>
        </w:rPr>
      </w:pPr>
    </w:p>
    <w:p w:rsidR="000B2CE7" w:rsidRDefault="000B2CE7" w:rsidP="000B2CE7">
      <w:pPr>
        <w:widowControl w:val="0"/>
        <w:suppressAutoHyphens w:val="0"/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0B2CE7" w:rsidRPr="008F6791" w:rsidRDefault="000B2CE7" w:rsidP="000B2CE7">
      <w:pPr>
        <w:widowControl w:val="0"/>
        <w:suppressAutoHyphens w:val="0"/>
        <w:jc w:val="center"/>
        <w:rPr>
          <w:rStyle w:val="a4"/>
          <w:b w:val="0"/>
          <w:bCs w:val="0"/>
          <w:sz w:val="30"/>
          <w:szCs w:val="30"/>
        </w:rPr>
      </w:pPr>
    </w:p>
    <w:p w:rsidR="000B2CE7" w:rsidRPr="008F6791" w:rsidRDefault="000B2CE7" w:rsidP="000B2CE7">
      <w:pPr>
        <w:widowControl w:val="0"/>
        <w:suppressAutoHyphens w:val="0"/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0"/>
          <w:sz w:val="30"/>
          <w:szCs w:val="30"/>
        </w:rPr>
        <w:t>к</w:t>
      </w:r>
      <w:r w:rsidRPr="008F6791">
        <w:rPr>
          <w:rStyle w:val="a4"/>
          <w:b w:val="0"/>
          <w:sz w:val="30"/>
          <w:szCs w:val="30"/>
        </w:rPr>
        <w:t>тов недвижимости, рублей;</w:t>
      </w:r>
    </w:p>
    <w:p w:rsidR="000B2CE7" w:rsidRPr="008F6791" w:rsidRDefault="000B2CE7" w:rsidP="00075AC3">
      <w:pPr>
        <w:widowControl w:val="0"/>
        <w:tabs>
          <w:tab w:val="left" w:pos="142"/>
        </w:tabs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коэффициент платы за публичный сервитут. 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муниципал</w:t>
      </w:r>
      <w:r w:rsidRPr="008F6791">
        <w:rPr>
          <w:rStyle w:val="a4"/>
          <w:b w:val="0"/>
          <w:sz w:val="30"/>
          <w:szCs w:val="30"/>
        </w:rPr>
        <w:t>ь</w:t>
      </w:r>
      <w:r w:rsidRPr="008F6791">
        <w:rPr>
          <w:rStyle w:val="a4"/>
          <w:b w:val="0"/>
          <w:sz w:val="30"/>
          <w:szCs w:val="30"/>
        </w:rPr>
        <w:t xml:space="preserve">ной собственности и не </w:t>
      </w:r>
      <w:proofErr w:type="spellStart"/>
      <w:r w:rsidRPr="008F6791">
        <w:rPr>
          <w:rStyle w:val="a4"/>
          <w:b w:val="0"/>
          <w:sz w:val="30"/>
          <w:szCs w:val="30"/>
        </w:rPr>
        <w:t>обремененного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правами третьих лиц, </w:t>
      </w:r>
      <w:r>
        <w:rPr>
          <w:rStyle w:val="a4"/>
          <w:b w:val="0"/>
          <w:sz w:val="30"/>
          <w:szCs w:val="30"/>
        </w:rPr>
        <w:t>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</w:t>
      </w:r>
      <w:r w:rsidRPr="008F6791">
        <w:rPr>
          <w:rStyle w:val="a4"/>
          <w:b w:val="0"/>
          <w:sz w:val="30"/>
          <w:szCs w:val="30"/>
        </w:rPr>
        <w:t>0,01% кадастровой стоимости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земельного участка</w:t>
      </w:r>
      <w:r>
        <w:rPr>
          <w:rStyle w:val="a4"/>
          <w:b w:val="0"/>
          <w:sz w:val="30"/>
          <w:szCs w:val="30"/>
        </w:rPr>
        <w:t xml:space="preserve">                  </w:t>
      </w:r>
      <w:r w:rsidRPr="008F6791">
        <w:rPr>
          <w:rStyle w:val="a4"/>
          <w:b w:val="0"/>
          <w:sz w:val="30"/>
          <w:szCs w:val="30"/>
        </w:rPr>
        <w:t xml:space="preserve"> за каждый год его использования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proofErr w:type="gramStart"/>
      <w:r w:rsidRPr="008F6791">
        <w:rPr>
          <w:sz w:val="30"/>
          <w:szCs w:val="30"/>
        </w:rPr>
        <w:t>за</w:t>
      </w:r>
      <w:proofErr w:type="gramEnd"/>
      <w:r w:rsidRPr="008F6791">
        <w:rPr>
          <w:sz w:val="30"/>
          <w:szCs w:val="30"/>
        </w:rPr>
        <w:t xml:space="preserve">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proofErr w:type="spellStart"/>
      <w:r w:rsidRPr="008F6791">
        <w:rPr>
          <w:sz w:val="30"/>
          <w:szCs w:val="30"/>
        </w:rPr>
        <w:t>обремененного</w:t>
      </w:r>
      <w:proofErr w:type="spellEnd"/>
      <w:r w:rsidRPr="008F6791">
        <w:rPr>
          <w:sz w:val="30"/>
          <w:szCs w:val="30"/>
        </w:rPr>
        <w:t xml:space="preserve">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0"/>
          <w:sz w:val="30"/>
          <w:szCs w:val="30"/>
        </w:rPr>
        <w:t xml:space="preserve"> серви</w:t>
      </w:r>
      <w:r w:rsidRPr="008F6791">
        <w:rPr>
          <w:rStyle w:val="a4"/>
          <w:b w:val="0"/>
          <w:sz w:val="30"/>
          <w:szCs w:val="30"/>
        </w:rPr>
        <w:t>т</w:t>
      </w:r>
      <w:r w:rsidRPr="008F6791">
        <w:rPr>
          <w:rStyle w:val="a4"/>
          <w:b w:val="0"/>
          <w:sz w:val="30"/>
          <w:szCs w:val="30"/>
        </w:rPr>
        <w:t>у</w:t>
      </w:r>
      <w:r w:rsidRPr="008F6791">
        <w:rPr>
          <w:rStyle w:val="a4"/>
          <w:b w:val="0"/>
          <w:sz w:val="30"/>
          <w:szCs w:val="30"/>
        </w:rPr>
        <w:t>та), кв. м.</w:t>
      </w:r>
    </w:p>
    <w:p w:rsidR="000B2CE7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>аблице 1</w:t>
      </w:r>
      <w:r w:rsidRPr="008F6791">
        <w:rPr>
          <w:rStyle w:val="a4"/>
          <w:b w:val="0"/>
          <w:sz w:val="30"/>
          <w:szCs w:val="30"/>
        </w:rPr>
        <w:t>.</w:t>
      </w:r>
    </w:p>
    <w:p w:rsidR="00075AC3" w:rsidRDefault="00075AC3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0B2CE7" w:rsidRDefault="000B2CE7" w:rsidP="000B2CE7">
      <w:pPr>
        <w:widowControl w:val="0"/>
        <w:suppressAutoHyphens w:val="0"/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 1. </w:t>
      </w: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собственность на которые не раз</w:t>
      </w:r>
      <w:r>
        <w:rPr>
          <w:rStyle w:val="a4"/>
          <w:b w:val="0"/>
          <w:sz w:val="30"/>
          <w:szCs w:val="30"/>
        </w:rPr>
        <w:t>граничена</w:t>
      </w:r>
    </w:p>
    <w:p w:rsidR="000B2CE7" w:rsidRDefault="000B2CE7" w:rsidP="000B2CE7">
      <w:pPr>
        <w:widowControl w:val="0"/>
        <w:suppressAutoHyphens w:val="0"/>
        <w:ind w:firstLine="709"/>
        <w:jc w:val="both"/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0B2CE7" w:rsidRPr="008F6791" w:rsidTr="00075AC3">
        <w:trPr>
          <w:trHeight w:val="1941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br w:type="page"/>
              <w:t xml:space="preserve">Номер </w:t>
            </w:r>
          </w:p>
          <w:p w:rsidR="000B2CE7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кадастрового квартала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0"/>
              </w:rPr>
              <w:t>собственность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 xml:space="preserve">на которые не разграничена,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proofErr w:type="spellStart"/>
            <w:proofErr w:type="gramStart"/>
            <w:r w:rsidRPr="008F6791">
              <w:t>Коэффи</w:t>
            </w:r>
            <w:r w:rsidR="004B02E1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4B02E1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сервитут,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0B2CE7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R="000B2CE7" w:rsidRPr="008F6791" w:rsidRDefault="000B2CE7" w:rsidP="00075AC3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>
              <w:t>руб. (Р</w:t>
            </w:r>
            <w:r w:rsidRPr="00D235DB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075AC3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FAE" w:rsidRPr="00D53E4E" w:rsidRDefault="00E632D7" w:rsidP="00D235DB">
            <w:pPr>
              <w:widowControl w:val="0"/>
              <w:suppressAutoHyphens w:val="0"/>
            </w:pPr>
            <w:r>
              <w:t>24:50:010028624:50:010030024:50:0100303</w:t>
            </w:r>
            <w:r w:rsidRPr="00E632D7">
              <w:t>24:50:0100310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D235DB">
            <w:pPr>
              <w:widowControl w:val="0"/>
              <w:suppressAutoHyphens w:val="0"/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D53E4E" w:rsidRDefault="00E632D7" w:rsidP="00D235DB">
            <w:pPr>
              <w:widowControl w:val="0"/>
              <w:suppressAutoHyphens w:val="0"/>
              <w:jc w:val="center"/>
            </w:pPr>
            <w:r>
              <w:t>1 044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D235DB">
            <w:pPr>
              <w:widowControl w:val="0"/>
              <w:suppressAutoHyphens w:val="0"/>
              <w:jc w:val="center"/>
            </w:pPr>
            <w:r w:rsidRPr="008F6791">
              <w:t>0,1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9423E0" w:rsidRDefault="00E632D7" w:rsidP="00D235DB">
            <w:pPr>
              <w:widowControl w:val="0"/>
              <w:suppressAutoHyphens w:val="0"/>
              <w:jc w:val="right"/>
            </w:pPr>
            <w:r>
              <w:t>1 042,34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9423E0" w:rsidRDefault="00E632D7" w:rsidP="00D235DB">
            <w:pPr>
              <w:widowControl w:val="0"/>
              <w:suppressAutoHyphens w:val="0"/>
              <w:ind w:left="-57" w:right="57"/>
              <w:jc w:val="right"/>
            </w:pPr>
            <w:r>
              <w:t>1 129,20</w:t>
            </w:r>
          </w:p>
        </w:tc>
      </w:tr>
    </w:tbl>
    <w:p w:rsidR="000B2CE7" w:rsidRPr="00F64E68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proofErr w:type="spellStart"/>
      <w:proofErr w:type="gramStart"/>
      <w:r w:rsidRPr="00260013">
        <w:rPr>
          <w:sz w:val="30"/>
          <w:szCs w:val="30"/>
        </w:rPr>
        <w:t>Крас</w:t>
      </w:r>
      <w:r w:rsidR="00075AC3">
        <w:rPr>
          <w:sz w:val="30"/>
          <w:szCs w:val="30"/>
        </w:rPr>
        <w:t>-</w:t>
      </w:r>
      <w:r w:rsidRPr="00260013">
        <w:rPr>
          <w:sz w:val="30"/>
          <w:szCs w:val="30"/>
        </w:rPr>
        <w:t>ноярска</w:t>
      </w:r>
      <w:proofErr w:type="spellEnd"/>
      <w:proofErr w:type="gramEnd"/>
      <w:r w:rsidRPr="00260013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</w:t>
      </w:r>
      <w:proofErr w:type="spellEnd"/>
      <w:r w:rsidRPr="00260013">
        <w:rPr>
          <w:sz w:val="30"/>
          <w:szCs w:val="30"/>
        </w:rPr>
        <w:t xml:space="preserve"> </w:t>
      </w:r>
      <w:proofErr w:type="spellStart"/>
      <w:r w:rsidRPr="00260013">
        <w:rPr>
          <w:sz w:val="30"/>
          <w:szCs w:val="30"/>
        </w:rPr>
        <w:t>счет</w:t>
      </w:r>
      <w:proofErr w:type="spellEnd"/>
      <w:r w:rsidRPr="00260013">
        <w:rPr>
          <w:sz w:val="30"/>
          <w:szCs w:val="30"/>
        </w:rPr>
        <w:t xml:space="preserve"> № 03100643000000011900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075AC3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</w:t>
      </w:r>
      <w:proofErr w:type="spellStart"/>
      <w:r w:rsidRPr="00260013">
        <w:rPr>
          <w:sz w:val="30"/>
          <w:szCs w:val="30"/>
        </w:rPr>
        <w:t>счет</w:t>
      </w:r>
      <w:proofErr w:type="spellEnd"/>
      <w:r w:rsidRPr="00260013">
        <w:rPr>
          <w:sz w:val="30"/>
          <w:szCs w:val="30"/>
        </w:rPr>
        <w:t xml:space="preserve">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</w:t>
      </w:r>
      <w:proofErr w:type="spellStart"/>
      <w:r>
        <w:rPr>
          <w:sz w:val="30"/>
          <w:szCs w:val="30"/>
        </w:rPr>
        <w:t>платеж</w:t>
      </w:r>
      <w:proofErr w:type="spellEnd"/>
      <w:r>
        <w:rPr>
          <w:sz w:val="30"/>
          <w:szCs w:val="30"/>
        </w:rPr>
        <w:t xml:space="preserve">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R="000B2CE7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rStyle w:val="a4"/>
          <w:b w:val="0"/>
          <w:sz w:val="30"/>
          <w:szCs w:val="30"/>
        </w:rPr>
        <w:t>Расчет</w:t>
      </w:r>
      <w:proofErr w:type="spellEnd"/>
      <w:r>
        <w:rPr>
          <w:rStyle w:val="a4"/>
          <w:b w:val="0"/>
          <w:sz w:val="30"/>
          <w:szCs w:val="30"/>
        </w:rPr>
        <w:t xml:space="preserve"> платы за публ</w:t>
      </w:r>
      <w:r w:rsidR="00671970">
        <w:rPr>
          <w:rStyle w:val="a4"/>
          <w:b w:val="0"/>
          <w:sz w:val="30"/>
          <w:szCs w:val="30"/>
        </w:rPr>
        <w:t xml:space="preserve">ичный сервитут в отношении </w:t>
      </w:r>
      <w:r>
        <w:rPr>
          <w:rStyle w:val="a4"/>
          <w:b w:val="0"/>
          <w:sz w:val="30"/>
          <w:szCs w:val="30"/>
        </w:rPr>
        <w:t>земель</w:t>
      </w:r>
      <w:r w:rsidR="00671970">
        <w:rPr>
          <w:rStyle w:val="a4"/>
          <w:b w:val="0"/>
          <w:sz w:val="30"/>
          <w:szCs w:val="30"/>
        </w:rPr>
        <w:t>ных участков</w:t>
      </w:r>
      <w:r>
        <w:rPr>
          <w:rStyle w:val="a4"/>
          <w:b w:val="0"/>
          <w:sz w:val="30"/>
          <w:szCs w:val="30"/>
        </w:rPr>
        <w:t xml:space="preserve">, </w:t>
      </w:r>
      <w:r w:rsidR="00671970">
        <w:rPr>
          <w:rStyle w:val="a4"/>
          <w:b w:val="0"/>
          <w:sz w:val="30"/>
          <w:szCs w:val="30"/>
        </w:rPr>
        <w:t>находящихся</w:t>
      </w:r>
      <w:r w:rsidRPr="00E632D7">
        <w:rPr>
          <w:rStyle w:val="a4"/>
          <w:b w:val="0"/>
          <w:sz w:val="30"/>
          <w:szCs w:val="30"/>
        </w:rPr>
        <w:t xml:space="preserve"> в муниципальной собственности, и</w:t>
      </w:r>
      <w:r w:rsidRPr="00E632D7">
        <w:rPr>
          <w:rStyle w:val="a4"/>
          <w:b w:val="0"/>
          <w:sz w:val="30"/>
          <w:szCs w:val="30"/>
        </w:rPr>
        <w:t>с</w:t>
      </w:r>
      <w:r w:rsidRPr="00E632D7">
        <w:rPr>
          <w:rStyle w:val="a4"/>
          <w:b w:val="0"/>
          <w:sz w:val="30"/>
          <w:szCs w:val="30"/>
        </w:rPr>
        <w:t>числяется</w:t>
      </w:r>
      <w:r w:rsidR="004B02E1">
        <w:rPr>
          <w:rStyle w:val="a4"/>
          <w:b w:val="0"/>
          <w:sz w:val="30"/>
          <w:szCs w:val="30"/>
        </w:rPr>
        <w:t xml:space="preserve">    </w:t>
      </w:r>
      <w:r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t>по формуле:</w:t>
      </w:r>
    </w:p>
    <w:p w:rsidR="00E632D7" w:rsidRPr="003947A4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2"/>
          <w:szCs w:val="30"/>
        </w:rPr>
      </w:pPr>
    </w:p>
    <w:p w:rsidR="00D235DB" w:rsidRPr="00D235DB" w:rsidRDefault="004B152F" w:rsidP="00D235DB">
      <w:pPr>
        <w:suppressAutoHyphens w:val="0"/>
        <w:autoSpaceDN/>
        <w:spacing w:line="192" w:lineRule="auto"/>
        <w:jc w:val="both"/>
        <w:textAlignment w:val="auto"/>
        <w:rPr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з.у</m:t>
                  </m:r>
                  <w:proofErr w:type="spellEnd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w:proofErr w:type="spellStart"/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  <w:proofErr w:type="spellEnd"/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D235DB" w:rsidRPr="00D235DB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D235DB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0"/>
          <w:sz w:val="30"/>
          <w:szCs w:val="30"/>
        </w:rPr>
        <w:t>с</w:t>
      </w:r>
      <w:r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E632D7" w:rsidRDefault="00E632D7" w:rsidP="00E632D7">
      <w:pPr>
        <w:widowControl w:val="0"/>
        <w:suppressAutoHyphens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0"/>
          <w:sz w:val="30"/>
          <w:szCs w:val="30"/>
        </w:rPr>
        <w:t>ь</w:t>
      </w:r>
      <w:r>
        <w:rPr>
          <w:rStyle w:val="a4"/>
          <w:b w:val="0"/>
          <w:sz w:val="30"/>
          <w:szCs w:val="30"/>
        </w:rPr>
        <w:t xml:space="preserve">ной собственности и не </w:t>
      </w:r>
      <w:proofErr w:type="spellStart"/>
      <w:r>
        <w:rPr>
          <w:rStyle w:val="a4"/>
          <w:b w:val="0"/>
          <w:sz w:val="30"/>
          <w:szCs w:val="30"/>
        </w:rPr>
        <w:t>обремененного</w:t>
      </w:r>
      <w:proofErr w:type="spellEnd"/>
      <w:r>
        <w:rPr>
          <w:rStyle w:val="a4"/>
          <w:b w:val="0"/>
          <w:sz w:val="30"/>
          <w:szCs w:val="30"/>
        </w:rPr>
        <w:t xml:space="preserve"> правами третьих лиц, 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proofErr w:type="spellStart"/>
      <w:r>
        <w:rPr>
          <w:sz w:val="30"/>
          <w:szCs w:val="30"/>
        </w:rPr>
        <w:t>обремененного</w:t>
      </w:r>
      <w:proofErr w:type="spellEnd"/>
      <w:r>
        <w:rPr>
          <w:sz w:val="30"/>
          <w:szCs w:val="30"/>
        </w:rPr>
        <w:t xml:space="preserve">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>.</w:t>
      </w:r>
      <w:r w:rsidRPr="00D235DB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E632D7" w:rsidRDefault="00E632D7" w:rsidP="00E632D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0"/>
          <w:sz w:val="30"/>
          <w:szCs w:val="30"/>
        </w:rPr>
        <w:t>у</w:t>
      </w:r>
      <w:r>
        <w:rPr>
          <w:rStyle w:val="a4"/>
          <w:b w:val="0"/>
          <w:sz w:val="30"/>
          <w:szCs w:val="30"/>
        </w:rPr>
        <w:t>та), кв. м.</w:t>
      </w:r>
    </w:p>
    <w:p w:rsidR="00E632D7" w:rsidRDefault="00E632D7" w:rsidP="00E632D7">
      <w:pPr>
        <w:widowControl w:val="0"/>
        <w:suppressAutoHyphens w:val="0"/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D235DB" w:rsidRDefault="00D235DB">
      <w:pPr>
        <w:suppressAutoHyphens w:val="0"/>
        <w:autoSpaceDN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632D7" w:rsidRDefault="00E632D7" w:rsidP="00E632D7">
      <w:pPr>
        <w:widowControl w:val="0"/>
        <w:suppressAutoHyphens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2. Размер платы за публ</w:t>
      </w:r>
      <w:r w:rsidR="00671970">
        <w:rPr>
          <w:sz w:val="30"/>
          <w:szCs w:val="30"/>
        </w:rPr>
        <w:t xml:space="preserve">ичный сервитут в отношении </w:t>
      </w:r>
    </w:p>
    <w:p w:rsidR="00E632D7" w:rsidRDefault="00671970" w:rsidP="00E632D7">
      <w:pPr>
        <w:widowControl w:val="0"/>
        <w:suppressAutoHyphens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земельных участков</w:t>
      </w:r>
      <w:r w:rsidR="00E632D7">
        <w:rPr>
          <w:sz w:val="30"/>
          <w:szCs w:val="30"/>
        </w:rPr>
        <w:t xml:space="preserve">, </w:t>
      </w:r>
      <w:r>
        <w:rPr>
          <w:sz w:val="30"/>
          <w:szCs w:val="30"/>
        </w:rPr>
        <w:t>находящихся</w:t>
      </w:r>
      <w:r w:rsidR="00E632D7" w:rsidRPr="002C7301">
        <w:rPr>
          <w:sz w:val="30"/>
          <w:szCs w:val="30"/>
        </w:rPr>
        <w:t xml:space="preserve"> в муниципальной собственности</w:t>
      </w:r>
    </w:p>
    <w:p w:rsidR="00E632D7" w:rsidRPr="00D235DB" w:rsidRDefault="00E632D7" w:rsidP="00E632D7">
      <w:pPr>
        <w:widowControl w:val="0"/>
        <w:suppressAutoHyphens w:val="0"/>
        <w:ind w:firstLine="709"/>
        <w:jc w:val="both"/>
        <w:rPr>
          <w:sz w:val="30"/>
          <w:szCs w:val="30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1418"/>
        <w:gridCol w:w="993"/>
        <w:gridCol w:w="1134"/>
        <w:gridCol w:w="992"/>
        <w:gridCol w:w="1276"/>
        <w:gridCol w:w="1134"/>
      </w:tblGrid>
      <w:tr w:rsidR="00E632D7" w:rsidTr="003D7902">
        <w:trPr>
          <w:trHeight w:val="183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 xml:space="preserve">Кадастровый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номер земельного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5DB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Кадастр</w:t>
            </w:r>
            <w:r>
              <w:t>о</w:t>
            </w:r>
            <w:r>
              <w:t>вая сто</w:t>
            </w:r>
            <w:r>
              <w:t>и</w:t>
            </w:r>
            <w:r>
              <w:t xml:space="preserve">мость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 xml:space="preserve">земельного участка,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руб. (КСТ)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r>
              <w:t>ь</w:t>
            </w:r>
            <w:r>
              <w:t>ного учас</w:t>
            </w:r>
            <w:r>
              <w:t>т</w:t>
            </w:r>
            <w:r>
              <w:t xml:space="preserve">ка,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0"/>
              </w:rPr>
              <w:t>ПЛ</w:t>
            </w:r>
            <w:r w:rsidRPr="00B16685">
              <w:rPr>
                <w:rStyle w:val="a4"/>
                <w:b w:val="0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0"/>
                <w:vertAlign w:val="subscript"/>
              </w:rPr>
              <w:t>.</w:t>
            </w:r>
            <w:r>
              <w:rPr>
                <w:rStyle w:val="a4"/>
                <w:b w:val="0"/>
                <w:vertAlign w:val="sub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Площадь публи</w:t>
            </w:r>
            <w:r>
              <w:t>ч</w:t>
            </w:r>
            <w:r>
              <w:t>ного се</w:t>
            </w:r>
            <w:r>
              <w:t>р</w:t>
            </w:r>
            <w:r>
              <w:t xml:space="preserve">витута,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0"/>
              </w:rPr>
              <w:t>ПЛ</w:t>
            </w:r>
            <w:r w:rsidRPr="00B16685">
              <w:rPr>
                <w:rStyle w:val="a4"/>
                <w:b w:val="0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0"/>
                <w:vertAlign w:val="subscript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5DB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5DB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 xml:space="preserve">Размер платы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 xml:space="preserve">в год,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4B02E1">
              <w:t>)</w:t>
            </w:r>
            <w:r>
              <w:t xml:space="preserve"> </w:t>
            </w:r>
          </w:p>
          <w:p w:rsidR="00E632D7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D7" w:rsidRPr="008F6791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 w:rsidRPr="008F6791">
              <w:t xml:space="preserve">Размер </w:t>
            </w:r>
          </w:p>
          <w:p w:rsidR="00E632D7" w:rsidRPr="008F6791" w:rsidRDefault="00E632D7" w:rsidP="00D235DB">
            <w:pPr>
              <w:widowControl w:val="0"/>
              <w:suppressAutoHyphens w:val="0"/>
              <w:spacing w:line="192" w:lineRule="auto"/>
              <w:ind w:left="-28" w:right="-28"/>
              <w:jc w:val="center"/>
            </w:pPr>
            <w:r w:rsidRPr="008F6791">
              <w:t xml:space="preserve">платы </w:t>
            </w:r>
          </w:p>
          <w:p w:rsidR="00D235DB" w:rsidRDefault="00E632D7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 xml:space="preserve">за </w:t>
            </w:r>
            <w:proofErr w:type="spellStart"/>
            <w:r>
              <w:t>пуб</w:t>
            </w:r>
            <w:proofErr w:type="spellEnd"/>
            <w:r w:rsidR="00D235DB">
              <w:t>-</w:t>
            </w:r>
          </w:p>
          <w:p w:rsidR="00D235DB" w:rsidRDefault="00D235DB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>лич</w:t>
            </w:r>
            <w:r w:rsidR="00E632D7">
              <w:t xml:space="preserve">ный </w:t>
            </w:r>
          </w:p>
          <w:p w:rsidR="00E632D7" w:rsidRDefault="00E632D7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 xml:space="preserve">сервитут </w:t>
            </w:r>
          </w:p>
          <w:p w:rsidR="00D235DB" w:rsidRDefault="00E632D7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 xml:space="preserve">за весь </w:t>
            </w:r>
          </w:p>
          <w:p w:rsidR="00E632D7" w:rsidRDefault="00E632D7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 xml:space="preserve">период, </w:t>
            </w:r>
          </w:p>
          <w:p w:rsidR="00E632D7" w:rsidRDefault="00E632D7" w:rsidP="00D235DB">
            <w:pPr>
              <w:widowControl w:val="0"/>
              <w:tabs>
                <w:tab w:val="left" w:pos="-10"/>
              </w:tabs>
              <w:suppressAutoHyphens w:val="0"/>
              <w:spacing w:line="192" w:lineRule="auto"/>
              <w:ind w:left="-28" w:right="-28"/>
              <w:jc w:val="center"/>
            </w:pPr>
            <w:r>
              <w:t>руб. (</w:t>
            </w:r>
            <w:proofErr w:type="spellStart"/>
            <w:r>
              <w:t>Р</w:t>
            </w:r>
            <w:r w:rsidR="004B02E1">
              <w:t>п</w:t>
            </w:r>
            <w:proofErr w:type="spellEnd"/>
            <w:r>
              <w:t>)</w:t>
            </w:r>
          </w:p>
        </w:tc>
      </w:tr>
      <w:tr w:rsidR="00E632D7" w:rsidTr="003D7902">
        <w:trPr>
          <w:trHeight w:val="3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2D7" w:rsidRDefault="00E632D7" w:rsidP="00D235DB">
            <w:r>
              <w:t>24:50:0000000:1099</w:t>
            </w:r>
          </w:p>
          <w:p w:rsidR="00E632D7" w:rsidRDefault="00E632D7" w:rsidP="00D235DB">
            <w:r>
              <w:t>24:50:0100298:109</w:t>
            </w:r>
          </w:p>
          <w:p w:rsidR="00E632D7" w:rsidRDefault="00E632D7" w:rsidP="00D235DB">
            <w:r>
              <w:t>24:50:0100284:10</w:t>
            </w:r>
          </w:p>
          <w:p w:rsidR="003D7902" w:rsidRDefault="003D7902" w:rsidP="00D235DB">
            <w:r w:rsidRPr="003D7902">
              <w:t>24:50:0000000:345407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2D7" w:rsidRDefault="00E632D7" w:rsidP="00D235DB">
            <w:pPr>
              <w:jc w:val="right"/>
            </w:pPr>
            <w:r>
              <w:t>1</w:t>
            </w:r>
            <w:r w:rsidR="00671970">
              <w:t xml:space="preserve"> </w:t>
            </w:r>
            <w:r>
              <w:t>163</w:t>
            </w:r>
            <w:r w:rsidR="00671970">
              <w:t xml:space="preserve"> </w:t>
            </w:r>
            <w:r>
              <w:t>926,2</w:t>
            </w:r>
          </w:p>
          <w:p w:rsidR="00671970" w:rsidRDefault="00671970" w:rsidP="00D235DB">
            <w:pPr>
              <w:jc w:val="right"/>
            </w:pPr>
            <w:r>
              <w:t>348 829,9</w:t>
            </w:r>
          </w:p>
          <w:p w:rsidR="00671970" w:rsidRDefault="00671970" w:rsidP="00D235DB">
            <w:pPr>
              <w:jc w:val="right"/>
            </w:pPr>
            <w:r>
              <w:t>508 021,6</w:t>
            </w:r>
          </w:p>
          <w:p w:rsidR="003D7902" w:rsidRDefault="003D7902" w:rsidP="00D235DB">
            <w:pPr>
              <w:jc w:val="right"/>
            </w:pPr>
            <w:r>
              <w:t>3 403 918,7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2D7" w:rsidRDefault="00671970" w:rsidP="00D235DB">
            <w:pPr>
              <w:jc w:val="center"/>
            </w:pPr>
            <w:r>
              <w:t>1</w:t>
            </w:r>
            <w:r w:rsidR="004B02E1">
              <w:t xml:space="preserve"> </w:t>
            </w:r>
            <w:r>
              <w:t>338</w:t>
            </w:r>
          </w:p>
          <w:p w:rsidR="00671970" w:rsidRDefault="00671970" w:rsidP="00D235DB">
            <w:pPr>
              <w:jc w:val="center"/>
            </w:pPr>
            <w:r>
              <w:t>240</w:t>
            </w:r>
          </w:p>
          <w:p w:rsidR="00671970" w:rsidRDefault="00671970" w:rsidP="00D235DB">
            <w:pPr>
              <w:jc w:val="center"/>
            </w:pPr>
            <w:r>
              <w:t>584</w:t>
            </w:r>
          </w:p>
          <w:p w:rsidR="003D7902" w:rsidRDefault="003D7902" w:rsidP="00D235DB">
            <w:pPr>
              <w:jc w:val="center"/>
            </w:pPr>
            <w:r>
              <w:t>3</w:t>
            </w:r>
            <w:r w:rsidR="004B02E1">
              <w:t xml:space="preserve"> </w:t>
            </w:r>
            <w:r>
              <w:t>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2D7" w:rsidRDefault="00671970" w:rsidP="00D235DB">
            <w:pPr>
              <w:jc w:val="center"/>
            </w:pPr>
            <w:r>
              <w:t>49</w:t>
            </w:r>
          </w:p>
          <w:p w:rsidR="00671970" w:rsidRDefault="00671970" w:rsidP="00D235DB">
            <w:pPr>
              <w:jc w:val="center"/>
            </w:pPr>
            <w:r>
              <w:t>47</w:t>
            </w:r>
          </w:p>
          <w:p w:rsidR="00671970" w:rsidRDefault="00671970" w:rsidP="00D235DB">
            <w:pPr>
              <w:jc w:val="center"/>
            </w:pPr>
            <w:r>
              <w:t>106</w:t>
            </w:r>
          </w:p>
          <w:p w:rsidR="003D7902" w:rsidRDefault="003D7902" w:rsidP="00D235DB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2D7" w:rsidRDefault="00671970" w:rsidP="00D235DB">
            <w:pPr>
              <w:jc w:val="center"/>
            </w:pPr>
            <w:r>
              <w:t>0,</w:t>
            </w:r>
            <w:r w:rsidR="00E632D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2D7" w:rsidRDefault="00671970" w:rsidP="00D235DB">
            <w:pPr>
              <w:jc w:val="right"/>
            </w:pPr>
            <w:r>
              <w:t>42,63</w:t>
            </w:r>
          </w:p>
          <w:p w:rsidR="00671970" w:rsidRDefault="00671970" w:rsidP="00D235DB">
            <w:pPr>
              <w:jc w:val="right"/>
            </w:pPr>
            <w:r>
              <w:t>68,31</w:t>
            </w:r>
          </w:p>
          <w:p w:rsidR="00671970" w:rsidRDefault="00671970" w:rsidP="00D235DB">
            <w:pPr>
              <w:jc w:val="right"/>
            </w:pPr>
            <w:r>
              <w:t>92,21</w:t>
            </w:r>
          </w:p>
          <w:p w:rsidR="003D7902" w:rsidRDefault="003D7902" w:rsidP="00D235DB">
            <w:pPr>
              <w:jc w:val="right"/>
            </w:pPr>
            <w:r>
              <w:t>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2D7" w:rsidRDefault="00671970" w:rsidP="00D235DB">
            <w:pPr>
              <w:ind w:right="57"/>
              <w:jc w:val="right"/>
            </w:pPr>
            <w:r>
              <w:t>46,18</w:t>
            </w:r>
          </w:p>
          <w:p w:rsidR="00671970" w:rsidRDefault="00671970" w:rsidP="00D235DB">
            <w:pPr>
              <w:ind w:right="57"/>
              <w:jc w:val="right"/>
            </w:pPr>
            <w:r>
              <w:t>74,01</w:t>
            </w:r>
          </w:p>
          <w:p w:rsidR="00671970" w:rsidRDefault="00671970" w:rsidP="00D235DB">
            <w:pPr>
              <w:ind w:right="57"/>
              <w:jc w:val="right"/>
            </w:pPr>
            <w:r>
              <w:t>99,89</w:t>
            </w:r>
          </w:p>
          <w:p w:rsidR="003D7902" w:rsidRDefault="003D7902" w:rsidP="00D235DB">
            <w:pPr>
              <w:ind w:right="57"/>
              <w:jc w:val="right"/>
            </w:pPr>
            <w:r>
              <w:t>4,89</w:t>
            </w:r>
          </w:p>
        </w:tc>
      </w:tr>
    </w:tbl>
    <w:p w:rsidR="00E632D7" w:rsidRPr="00D235DB" w:rsidRDefault="00E632D7" w:rsidP="00E632D7">
      <w:pPr>
        <w:ind w:firstLine="709"/>
        <w:jc w:val="both"/>
        <w:rPr>
          <w:sz w:val="30"/>
          <w:szCs w:val="30"/>
        </w:rPr>
      </w:pP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4B02E1">
        <w:rPr>
          <w:sz w:val="30"/>
          <w:szCs w:val="30"/>
        </w:rPr>
        <w:t>: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УФК по Красноярскому краю (департамент муниципального </w:t>
      </w:r>
      <w:proofErr w:type="spellStart"/>
      <w:proofErr w:type="gramStart"/>
      <w:r>
        <w:rPr>
          <w:sz w:val="30"/>
          <w:szCs w:val="30"/>
        </w:rPr>
        <w:t>иму</w:t>
      </w:r>
      <w:r w:rsidR="00D235DB">
        <w:rPr>
          <w:sz w:val="30"/>
          <w:szCs w:val="30"/>
        </w:rPr>
        <w:t>-</w:t>
      </w:r>
      <w:r>
        <w:rPr>
          <w:sz w:val="30"/>
          <w:szCs w:val="30"/>
        </w:rPr>
        <w:t>щества</w:t>
      </w:r>
      <w:proofErr w:type="spellEnd"/>
      <w:proofErr w:type="gramEnd"/>
      <w:r>
        <w:rPr>
          <w:sz w:val="30"/>
          <w:szCs w:val="30"/>
        </w:rPr>
        <w:t xml:space="preserve"> и земельных отношений администрации города Красноярска);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расчетный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03100643000000011900; 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D235DB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04193005680;  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</w:t>
      </w:r>
      <w:proofErr w:type="spellStart"/>
      <w:r>
        <w:rPr>
          <w:sz w:val="30"/>
          <w:szCs w:val="30"/>
        </w:rPr>
        <w:t>платеж</w:t>
      </w:r>
      <w:proofErr w:type="spellEnd"/>
      <w:r>
        <w:rPr>
          <w:sz w:val="30"/>
          <w:szCs w:val="30"/>
        </w:rPr>
        <w:t xml:space="preserve"> – КБК 905 111 </w:t>
      </w:r>
      <w:r w:rsidRPr="00C25E86">
        <w:rPr>
          <w:sz w:val="30"/>
          <w:szCs w:val="30"/>
        </w:rPr>
        <w:t>05420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R="00E632D7" w:rsidRDefault="00E632D7" w:rsidP="00E632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1C1600" w:rsidRDefault="00E632D7" w:rsidP="006535C6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D235DB" w:rsidRDefault="00D235DB" w:rsidP="00D235DB">
      <w:pPr>
        <w:widowControl w:val="0"/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D235DB" w:rsidSect="00D235DB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2F" w:rsidRDefault="004B152F">
      <w:r>
        <w:separator/>
      </w:r>
    </w:p>
  </w:endnote>
  <w:endnote w:type="continuationSeparator" w:id="0">
    <w:p w:rsidR="004B152F" w:rsidRDefault="004B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2F" w:rsidRDefault="004B152F">
      <w:r>
        <w:rPr>
          <w:color w:val="000000"/>
        </w:rPr>
        <w:separator/>
      </w:r>
    </w:p>
  </w:footnote>
  <w:footnote w:type="continuationSeparator" w:id="0">
    <w:p w:rsidR="004B152F" w:rsidRDefault="004B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02E1">
      <w:rPr>
        <w:noProof/>
      </w:rPr>
      <w:t>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75AC3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41FC2"/>
    <w:rsid w:val="002468FE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62C11"/>
    <w:rsid w:val="00382BAF"/>
    <w:rsid w:val="00397D24"/>
    <w:rsid w:val="003A1BE4"/>
    <w:rsid w:val="003A41F2"/>
    <w:rsid w:val="003A6109"/>
    <w:rsid w:val="003C077F"/>
    <w:rsid w:val="003D7902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02E1"/>
    <w:rsid w:val="004B152F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197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C397A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53AF3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96FAE"/>
    <w:rsid w:val="00CC2532"/>
    <w:rsid w:val="00CE1C5E"/>
    <w:rsid w:val="00CE59DD"/>
    <w:rsid w:val="00CF3300"/>
    <w:rsid w:val="00D11417"/>
    <w:rsid w:val="00D235DB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20DB8"/>
    <w:rsid w:val="00E3144E"/>
    <w:rsid w:val="00E3338B"/>
    <w:rsid w:val="00E46187"/>
    <w:rsid w:val="00E632D7"/>
    <w:rsid w:val="00E77346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2250E26-9EC1-418B-949D-D37CC8A71A4C}"/>
</file>

<file path=customXml/itemProps2.xml><?xml version="1.0" encoding="utf-8"?>
<ds:datastoreItem xmlns:ds="http://schemas.openxmlformats.org/officeDocument/2006/customXml" ds:itemID="{1350D65C-AACC-4C27-BB88-9138A3BBB95B}"/>
</file>

<file path=customXml/itemProps3.xml><?xml version="1.0" encoding="utf-8"?>
<ds:datastoreItem xmlns:ds="http://schemas.openxmlformats.org/officeDocument/2006/customXml" ds:itemID="{9B1A2399-FC3F-4786-877F-34A3B6B0011F}"/>
</file>

<file path=customXml/itemProps4.xml><?xml version="1.0" encoding="utf-8"?>
<ds:datastoreItem xmlns:ds="http://schemas.openxmlformats.org/officeDocument/2006/customXml" ds:itemID="{08B3586E-9C63-4A0D-B3A9-8DE76ACB2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3</cp:revision>
  <cp:lastPrinted>2025-12-11T09:47:00Z</cp:lastPrinted>
  <dcterms:created xsi:type="dcterms:W3CDTF">2025-12-11T09:51:00Z</dcterms:created>
  <dcterms:modified xsi:type="dcterms:W3CDTF">2025-12-11T10:25:00Z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