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CC3178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CC3178">
        <w:rPr>
          <w:sz w:val="30"/>
          <w:szCs w:val="30"/>
        </w:rPr>
        <w:t xml:space="preserve"> 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6E5CB7" w:rsidR="006E5CB7" w:rsidRDefault="006E5CB7">
      <w:pPr>
        <w:jc w:val="center"/>
        <w:rPr>
          <w:rStyle w:val="a4"/>
          <w:b w:val="false"/>
          <w:sz w:val="30"/>
          <w:szCs w:val="30"/>
        </w:rPr>
      </w:pPr>
    </w:p>
    <w:p w:rsidP="006E5CB7" w:rsidR="00CC3178" w:rsidRDefault="00CC3178">
      <w:pPr>
        <w:jc w:val="center"/>
        <w:rPr>
          <w:rStyle w:val="a4"/>
          <w:b w:val="false"/>
          <w:sz w:val="30"/>
          <w:szCs w:val="30"/>
        </w:rPr>
      </w:pPr>
    </w:p>
    <w:p w:rsidP="006E5CB7" w:rsidR="00CC3178" w:rsidRDefault="00CC3178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6E5CB7" w:rsidR="00CC3178" w:rsidRDefault="00CC3178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CC3178" w:rsidR="00CC3178" w:rsidRDefault="00CC3178">
      <w:pPr>
        <w:ind w:firstLine="709"/>
        <w:rPr>
          <w:rStyle w:val="a4"/>
          <w:b w:val="false"/>
          <w:bCs w:val="false"/>
          <w:sz w:val="30"/>
          <w:szCs w:val="30"/>
        </w:rPr>
      </w:pPr>
    </w:p>
    <w:p w:rsidP="00CC3178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CC3178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CB0213">
        <w:rPr>
          <w:rStyle w:val="a4"/>
          <w:b w:val="false"/>
          <w:sz w:val="30"/>
          <w:szCs w:val="30"/>
        </w:rPr>
        <w:t xml:space="preserve">  </w:t>
      </w:r>
      <w:r w:rsidRPr="008F6791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CC3178" w:rsidR="00610FA7" w:rsidRDefault="00CB0213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П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rStyle w:val="a4"/>
          <w:b w:val="false"/>
          <w:sz w:val="30"/>
          <w:szCs w:val="30"/>
        </w:rPr>
        <w:t>– средний уровень кадастровой стоимости по сегментам объектов недвижимости, рублей;</w:t>
      </w:r>
    </w:p>
    <w:p w:rsidP="00CC3178" w:rsidR="00610FA7" w:rsidRDefault="00610FA7" w:rsidRPr="008F6791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 w:rsidRPr="00CB0213">
        <w:rPr>
          <w:rStyle w:val="a4"/>
          <w:b w:val="false"/>
          <w:sz w:val="30"/>
          <w:szCs w:val="30"/>
        </w:rPr>
        <w:fldChar w:fldCharType="begin"/>
      </w:r>
      <w:r w:rsidRPr="00CB0213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B0213">
        <w:rPr>
          <w:rStyle w:val="a4"/>
          <w:b w:val="false"/>
          <w:sz w:val="30"/>
          <w:szCs w:val="30"/>
        </w:rPr>
        <w:instrText xml:space="preserve"> </w:instrText>
      </w:r>
      <w:r w:rsidRPr="00CB0213">
        <w:rPr>
          <w:rStyle w:val="a4"/>
          <w:b w:val="false"/>
          <w:sz w:val="30"/>
          <w:szCs w:val="30"/>
        </w:rPr>
        <w:fldChar w:fldCharType="separate"/>
      </w:r>
      <w:proofErr w:type="gramStart"/>
      <w:r w:rsidR="00CB0213" w:rsidRPr="00CB0213">
        <w:rPr>
          <w:rStyle w:val="a4"/>
          <w:b w:val="false"/>
          <w:bCs w:val="false"/>
          <w:sz w:val="30"/>
          <w:szCs w:val="30"/>
        </w:rPr>
        <w:t>К</w:t>
      </w:r>
      <w:proofErr w:type="gramEnd"/>
      <w:r w:rsidR="00CB0213" w:rsidRPr="00CB0213">
        <w:rPr>
          <w:rStyle w:val="a4"/>
          <w:b w:val="false"/>
          <w:sz w:val="30"/>
          <w:szCs w:val="30"/>
        </w:rPr>
        <w:t xml:space="preserve"> </w:t>
      </w:r>
      <w:r w:rsidRPr="00CB0213">
        <w:rPr>
          <w:rStyle w:val="a4"/>
          <w:b w:val="false"/>
          <w:sz w:val="30"/>
          <w:szCs w:val="30"/>
        </w:rPr>
        <w:fldChar w:fldCharType="end"/>
      </w:r>
      <w:r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CC3178">
        <w:rPr>
          <w:rStyle w:val="a4"/>
          <w:b w:val="false"/>
          <w:sz w:val="30"/>
          <w:szCs w:val="30"/>
        </w:rPr>
        <w:t xml:space="preserve">                                       </w:t>
      </w:r>
      <w:r w:rsidRPr="008F6791">
        <w:rPr>
          <w:rStyle w:val="a4"/>
          <w:b w:val="false"/>
          <w:sz w:val="30"/>
          <w:szCs w:val="30"/>
        </w:rPr>
        <w:t xml:space="preserve">или муниципальной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false"/>
          <w:sz w:val="30"/>
          <w:szCs w:val="30"/>
        </w:rPr>
        <w:t>0,01% кадастровой стоимости земельного участка 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>при этом плата</w:t>
      </w:r>
      <w:r w:rsidR="00CC3178">
        <w:rPr>
          <w:sz w:val="30"/>
          <w:szCs w:val="30"/>
        </w:rPr>
        <w:t xml:space="preserve">                </w:t>
      </w:r>
      <w:r w:rsidRPr="008F6791">
        <w:rPr>
          <w:sz w:val="30"/>
          <w:szCs w:val="30"/>
        </w:rPr>
        <w:t xml:space="preserve"> за публичный сервитут, установленный на три года и более, не может быть менее чем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</w:p>
    <w:p w:rsidP="00CC3178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r w:rsidR="007B318B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CC3178" w:rsidR="00CC3178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="00CB0213">
        <w:rPr>
          <w:rStyle w:val="a4"/>
          <w:b w:val="false"/>
          <w:sz w:val="30"/>
          <w:szCs w:val="30"/>
        </w:rPr>
        <w:t xml:space="preserve"> 1</w:t>
      </w:r>
      <w:r w:rsidRPr="008F6791">
        <w:rPr>
          <w:rStyle w:val="a4"/>
          <w:b w:val="false"/>
          <w:sz w:val="30"/>
          <w:szCs w:val="30"/>
        </w:rPr>
        <w:t>.</w:t>
      </w:r>
    </w:p>
    <w:p w:rsidP="00CC3178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CB0213">
        <w:rPr>
          <w:sz w:val="30"/>
          <w:szCs w:val="30"/>
        </w:rPr>
        <w:t xml:space="preserve"> 1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CB0213">
        <w:rPr>
          <w:rStyle w:val="a4"/>
          <w:b w:val="false"/>
          <w:sz w:val="30"/>
          <w:szCs w:val="30"/>
        </w:rPr>
        <w:t xml:space="preserve">в отношении </w:t>
      </w:r>
      <w:r w:rsidR="00610FA7" w:rsidRPr="00610FA7">
        <w:rPr>
          <w:rStyle w:val="a4"/>
          <w:b w:val="false"/>
          <w:sz w:val="30"/>
          <w:szCs w:val="30"/>
        </w:rPr>
        <w:t>земель, государственная собственность на которые не разграничена.</w:t>
      </w:r>
    </w:p>
    <w:p w:rsidP="00CC3178" w:rsidR="00CC3178" w:rsidRDefault="00CC3178">
      <w:pPr>
        <w:ind w:firstLine="709"/>
        <w:jc w:val="both"/>
        <w:rPr>
          <w:rStyle w:val="a4"/>
          <w:b w:val="false"/>
          <w:sz w:val="3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545"/>
        <w:gridCol w:w="1824"/>
        <w:gridCol w:w="1338"/>
        <w:gridCol w:w="1457"/>
        <w:gridCol w:w="1455"/>
      </w:tblGrid>
      <w:tr w:rsidR="00610FA7" w:rsidRPr="008F6791" w:rsidTr="007B318B">
        <w:trPr>
          <w:trHeight w:val="1751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 земель</w:t>
            </w:r>
          </w:p>
        </w:tc>
        <w:tc>
          <w:tcPr>
            <w:tcW w:type="pct" w:w="8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там объе</w:t>
            </w:r>
            <w:r w:rsidRPr="008F6791">
              <w:rPr>
                <w:rStyle w:val="a4"/>
                <w:b w:val="false"/>
              </w:rPr>
              <w:t>к</w:t>
            </w:r>
            <w:r w:rsidRPr="008F6791">
              <w:rPr>
                <w:rStyle w:val="a4"/>
                <w:b w:val="false"/>
              </w:rPr>
              <w:t>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>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6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CC3178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610FA7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CC3178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CC3178">
        <w:trPr>
          <w:trHeight w:val="357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34887" w:rsidR="00AB737E" w:rsidRDefault="007B318B" w:rsidRPr="00D53E4E">
            <w:r w:rsidRPr="007B318B">
              <w:t>24:50:0100556</w:t>
            </w:r>
            <w:r w:rsidR="00634887">
              <w:t>;</w:t>
            </w:r>
            <w:r w:rsidRPr="007B318B">
              <w:t xml:space="preserve"> 24:50:0100466</w:t>
            </w:r>
          </w:p>
        </w:tc>
        <w:tc>
          <w:tcPr>
            <w:tcW w:type="pct" w:w="8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C3178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C3178" w:rsidR="00610FA7" w:rsidRDefault="007B318B" w:rsidRPr="00D53E4E">
            <w:pPr>
              <w:jc w:val="center"/>
            </w:pPr>
            <w:r>
              <w:t>61,40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C3178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C3178" w:rsidR="00610FA7" w:rsidRDefault="007B318B" w:rsidRPr="009423E0">
            <w:pPr>
              <w:jc w:val="right"/>
            </w:pPr>
            <w:r>
              <w:t>6,13</w:t>
            </w:r>
          </w:p>
        </w:tc>
        <w:tc>
          <w:tcPr>
            <w:tcW w:type="pct" w:w="76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C3178" w:rsidR="00610FA7" w:rsidRDefault="007B318B" w:rsidRPr="009423E0">
            <w:pPr>
              <w:ind w:left="-57" w:right="57"/>
              <w:jc w:val="right"/>
            </w:pPr>
            <w:r>
              <w:t>300,37</w:t>
            </w:r>
          </w:p>
        </w:tc>
      </w:tr>
    </w:tbl>
    <w:p w:rsidP="00CC3178" w:rsidR="00610FA7" w:rsidRDefault="00610FA7" w:rsidRPr="00F64E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C3178" w:rsidR="00610FA7" w:rsidRDefault="00610FA7" w:rsidRPr="00260013">
      <w:pPr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C3178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C3178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C3178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C3178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C3178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CC3178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C3178" w:rsidR="00AB737E" w:rsidRDefault="00AB737E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Style w:val="a4"/>
          <w:b w:val="false"/>
          <w:sz w:val="30"/>
          <w:szCs w:val="30"/>
        </w:rPr>
        <w:t xml:space="preserve">Расчет платы за публичный сервитут в </w:t>
      </w:r>
      <w:r w:rsidRPr="00AB737E">
        <w:rPr>
          <w:rStyle w:val="a4"/>
          <w:b w:val="false"/>
          <w:sz w:val="30"/>
          <w:szCs w:val="30"/>
        </w:rPr>
        <w:t xml:space="preserve">отношении </w:t>
      </w:r>
      <w:r>
        <w:rPr>
          <w:rStyle w:val="a4"/>
          <w:b w:val="false"/>
          <w:sz w:val="30"/>
          <w:szCs w:val="30"/>
        </w:rPr>
        <w:t>част</w:t>
      </w:r>
      <w:r w:rsidR="005560DA">
        <w:rPr>
          <w:rStyle w:val="a4"/>
          <w:b w:val="false"/>
          <w:sz w:val="30"/>
          <w:szCs w:val="30"/>
        </w:rPr>
        <w:t>и</w:t>
      </w:r>
      <w:r w:rsidRPr="00AB737E">
        <w:rPr>
          <w:rStyle w:val="a4"/>
          <w:b w:val="false"/>
          <w:sz w:val="30"/>
          <w:szCs w:val="30"/>
        </w:rPr>
        <w:t xml:space="preserve"> земель</w:t>
      </w:r>
      <w:r>
        <w:rPr>
          <w:rStyle w:val="a4"/>
          <w:b w:val="false"/>
          <w:sz w:val="30"/>
          <w:szCs w:val="30"/>
        </w:rPr>
        <w:t>н</w:t>
      </w:r>
      <w:r w:rsidR="005560DA">
        <w:rPr>
          <w:rStyle w:val="a4"/>
          <w:b w:val="false"/>
          <w:sz w:val="30"/>
          <w:szCs w:val="30"/>
        </w:rPr>
        <w:t>ого</w:t>
      </w:r>
      <w:r>
        <w:rPr>
          <w:rStyle w:val="a4"/>
          <w:b w:val="false"/>
          <w:sz w:val="30"/>
          <w:szCs w:val="30"/>
        </w:rPr>
        <w:t xml:space="preserve"> участк</w:t>
      </w:r>
      <w:r w:rsidR="005560DA">
        <w:rPr>
          <w:rStyle w:val="a4"/>
          <w:b w:val="false"/>
          <w:sz w:val="30"/>
          <w:szCs w:val="30"/>
        </w:rPr>
        <w:t>а</w:t>
      </w:r>
      <w:r w:rsidRPr="00AB737E">
        <w:rPr>
          <w:rStyle w:val="a4"/>
          <w:b w:val="false"/>
          <w:sz w:val="30"/>
          <w:szCs w:val="30"/>
        </w:rPr>
        <w:t>, государс</w:t>
      </w:r>
      <w:r>
        <w:rPr>
          <w:rStyle w:val="a4"/>
          <w:b w:val="false"/>
          <w:sz w:val="30"/>
          <w:szCs w:val="30"/>
        </w:rPr>
        <w:t>твенная собственность на которы</w:t>
      </w:r>
      <w:r w:rsidR="005560DA">
        <w:rPr>
          <w:rStyle w:val="a4"/>
          <w:b w:val="false"/>
          <w:sz w:val="30"/>
          <w:szCs w:val="30"/>
        </w:rPr>
        <w:t>й</w:t>
      </w:r>
      <w:r w:rsidRPr="00AB737E">
        <w:rPr>
          <w:rStyle w:val="a4"/>
          <w:b w:val="false"/>
          <w:sz w:val="30"/>
          <w:szCs w:val="30"/>
        </w:rPr>
        <w:t xml:space="preserve"> </w:t>
      </w:r>
      <w:r w:rsidR="007B318B">
        <w:rPr>
          <w:rStyle w:val="a4"/>
          <w:b w:val="false"/>
          <w:sz w:val="30"/>
          <w:szCs w:val="30"/>
        </w:rPr>
        <w:t xml:space="preserve">                     </w:t>
      </w:r>
      <w:r w:rsidRPr="00AB737E">
        <w:rPr>
          <w:rStyle w:val="a4"/>
          <w:b w:val="false"/>
          <w:sz w:val="30"/>
          <w:szCs w:val="30"/>
        </w:rPr>
        <w:t>не разграничена, исчисляется по формуле:</w:t>
      </w:r>
    </w:p>
    <w:p w:rsidP="00CC3178" w:rsidR="00AB737E" w:rsidRDefault="00AB737E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CC3178" w:rsidR="00AB737E" w:rsidRDefault="00BF7E9A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Р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П</m:t>
            </m:r>
          </m:sub>
        </m:sSub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КСТ × К</m:t>
                </m:r>
              </m:e>
            </m:d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ПЛ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серв</m:t>
            </m:r>
          </m:sub>
        </m:sSub>
      </m:oMath>
      <w:r w:rsidR="00AB737E">
        <w:rPr>
          <w:rStyle w:val="a4"/>
          <w:b w:val="false"/>
          <w:bCs w:val="false"/>
          <w:sz w:val="30"/>
          <w:szCs w:val="30"/>
        </w:rPr>
        <w:fldChar w:fldCharType="begin"/>
      </w:r>
      <w:r w:rsidR="00AB737E"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004305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5.05pt" type="#_x0000_t75">
            <v:imagedata chromakey="white" o:title="" r:id="rId8"/>
          </v:shape>
        </w:pict>
      </w:r>
      <w:r w:rsidR="00AB737E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AB737E">
        <w:rPr>
          <w:rStyle w:val="a4"/>
          <w:b w:val="false"/>
          <w:bCs w:val="false"/>
          <w:sz w:val="30"/>
          <w:szCs w:val="30"/>
        </w:rPr>
        <w:fldChar w:fldCharType="end"/>
      </w:r>
      <w:r w:rsidR="00AB737E">
        <w:rPr>
          <w:rStyle w:val="a4"/>
          <w:b w:val="false"/>
          <w:bCs w:val="false"/>
          <w:sz w:val="30"/>
          <w:szCs w:val="30"/>
        </w:rPr>
        <w:fldChar w:fldCharType="begin"/>
      </w:r>
      <w:r w:rsidR="00AB737E"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004305">
        <w:rPr>
          <w:position w:val="-20"/>
          <w:sz w:val="30"/>
          <w:szCs w:val="30"/>
        </w:rPr>
        <w:pict>
          <v:shape equationxml="&lt;" id="_x0000_i1026" style="width:121.45pt;height:25.05pt" type="#_x0000_t75">
            <v:imagedata chromakey="white" o:title="" r:id="rId8"/>
          </v:shape>
        </w:pict>
      </w:r>
      <w:r w:rsidR="00AB737E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AB737E">
        <w:rPr>
          <w:rStyle w:val="a4"/>
          <w:b w:val="false"/>
          <w:bCs w:val="false"/>
          <w:sz w:val="30"/>
          <w:szCs w:val="30"/>
        </w:rPr>
        <w:fldChar w:fldCharType="end"/>
      </w:r>
      <w:r w:rsidR="00AB737E">
        <w:rPr>
          <w:rStyle w:val="a4"/>
          <w:b w:val="false"/>
          <w:bCs w:val="false"/>
          <w:sz w:val="30"/>
          <w:szCs w:val="30"/>
        </w:rPr>
        <w:t>,</w:t>
      </w:r>
    </w:p>
    <w:p w:rsidP="00CC3178" w:rsidR="00CC3178" w:rsidRDefault="00CC3178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CC3178" w:rsidR="00AB737E" w:rsidRDefault="00AB737E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CC3178" w:rsidR="00AB737E" w:rsidRDefault="00AB737E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CC3178">
        <w:rPr>
          <w:rStyle w:val="a4"/>
          <w:b w:val="false"/>
          <w:sz w:val="30"/>
          <w:szCs w:val="30"/>
          <w:vertAlign w:val="subscript"/>
        </w:rPr>
        <w:t xml:space="preserve"> </w:t>
      </w:r>
      <w:r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CC3178" w:rsidR="00AB737E" w:rsidRDefault="00AB737E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</w:t>
      </w:r>
      <w:proofErr w:type="gramStart"/>
      <w:r>
        <w:rPr>
          <w:rStyle w:val="a4"/>
          <w:b w:val="false"/>
          <w:sz w:val="30"/>
          <w:szCs w:val="30"/>
        </w:rPr>
        <w:t>Т–</w:t>
      </w:r>
      <w:proofErr w:type="gramEnd"/>
      <w:r>
        <w:rPr>
          <w:rStyle w:val="a4"/>
          <w:b w:val="false"/>
          <w:sz w:val="30"/>
          <w:szCs w:val="30"/>
        </w:rPr>
        <w:t xml:space="preserve"> кадастровая стоимость земельного участка согласно выписке из Единого государственного реестра недвижимости, рублей;</w:t>
      </w:r>
    </w:p>
    <w:p w:rsidP="00CC3178" w:rsidR="00AB737E" w:rsidRDefault="00AB737E">
      <w:pPr>
        <w:widowControl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>В отношении           земельного участка, находящегося в государственной или муниципальной собственности и не обремененного правами третьих лиц, коэффициент платы равен 0,01% кадастровой стоимост</w:t>
      </w:r>
      <w:r w:rsidR="007B318B">
        <w:rPr>
          <w:rStyle w:val="a4"/>
          <w:b w:val="false"/>
          <w:sz w:val="30"/>
          <w:szCs w:val="30"/>
        </w:rPr>
        <w:t xml:space="preserve">и земельного участка </w:t>
      </w:r>
      <w:r>
        <w:rPr>
          <w:rStyle w:val="a4"/>
          <w:b w:val="false"/>
          <w:sz w:val="30"/>
          <w:szCs w:val="30"/>
        </w:rPr>
        <w:t xml:space="preserve">за каждый год его использования, </w:t>
      </w:r>
      <w:r>
        <w:rPr>
          <w:sz w:val="30"/>
          <w:szCs w:val="30"/>
        </w:rPr>
        <w:t xml:space="preserve">при этом плата </w:t>
      </w:r>
      <w:r w:rsidR="00634887">
        <w:rPr>
          <w:sz w:val="30"/>
          <w:szCs w:val="30"/>
        </w:rPr>
        <w:t xml:space="preserve">         </w:t>
      </w:r>
      <w:r>
        <w:rPr>
          <w:sz w:val="30"/>
          <w:szCs w:val="30"/>
        </w:rPr>
        <w:t>за публичный сервитут, установленный на три года и более, не мож</w:t>
      </w:r>
      <w:r w:rsidR="007B318B">
        <w:rPr>
          <w:sz w:val="30"/>
          <w:szCs w:val="30"/>
        </w:rPr>
        <w:t xml:space="preserve">ет быть менее чем </w:t>
      </w:r>
      <w:r>
        <w:rPr>
          <w:sz w:val="30"/>
          <w:szCs w:val="30"/>
        </w:rPr>
        <w:t>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  <w:proofErr w:type="gramEnd"/>
    </w:p>
    <w:p w:rsidP="00CC3178" w:rsidR="00AB737E" w:rsidRDefault="00AB737E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 xml:space="preserve">.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CC3178" w:rsidR="00AB737E" w:rsidRDefault="00AB737E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сервитута), кв. м.</w:t>
      </w:r>
    </w:p>
    <w:p w:rsidP="00CC3178" w:rsidR="00AB737E" w:rsidRDefault="00AB737E">
      <w:pPr>
        <w:ind w:firstLine="709"/>
        <w:jc w:val="both"/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P="00CC3178" w:rsidR="007B318B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2. Размер платы за публичный сервитут в отношении част</w:t>
      </w:r>
      <w:r w:rsidR="005560DA">
        <w:rPr>
          <w:sz w:val="30"/>
          <w:szCs w:val="30"/>
        </w:rPr>
        <w:t>и</w:t>
      </w:r>
      <w:r>
        <w:rPr>
          <w:sz w:val="30"/>
          <w:szCs w:val="30"/>
        </w:rPr>
        <w:t xml:space="preserve"> земельн</w:t>
      </w:r>
      <w:r w:rsidR="005560DA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5560DA">
        <w:rPr>
          <w:sz w:val="30"/>
          <w:szCs w:val="30"/>
        </w:rPr>
        <w:t>а</w:t>
      </w:r>
      <w:r>
        <w:rPr>
          <w:rStyle w:val="a4"/>
          <w:b w:val="false"/>
          <w:sz w:val="30"/>
          <w:szCs w:val="30"/>
        </w:rPr>
        <w:t>, государственная собственность на которы</w:t>
      </w:r>
      <w:r w:rsidR="005560DA">
        <w:rPr>
          <w:rStyle w:val="a4"/>
          <w:b w:val="false"/>
          <w:sz w:val="30"/>
          <w:szCs w:val="30"/>
        </w:rPr>
        <w:t>й</w:t>
      </w:r>
      <w:r>
        <w:rPr>
          <w:rStyle w:val="a4"/>
          <w:b w:val="false"/>
          <w:sz w:val="30"/>
          <w:szCs w:val="30"/>
        </w:rPr>
        <w:t xml:space="preserve"> не разграничена</w:t>
      </w:r>
      <w:r>
        <w:rPr>
          <w:sz w:val="30"/>
          <w:szCs w:val="30"/>
        </w:rPr>
        <w:t xml:space="preserve">. </w:t>
      </w:r>
    </w:p>
    <w:tbl>
      <w:tblPr>
        <w:tblW w:type="dxa" w:w="9465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235"/>
        <w:gridCol w:w="1701"/>
        <w:gridCol w:w="992"/>
        <w:gridCol w:w="1135"/>
        <w:gridCol w:w="991"/>
        <w:gridCol w:w="1134"/>
        <w:gridCol w:w="1277"/>
      </w:tblGrid>
      <w:tr w:rsidR="00AB737E" w:rsidTr="00F116F5">
        <w:trPr>
          <w:trHeight w:val="1787"/>
        </w:trPr>
        <w:tc>
          <w:tcPr>
            <w:tcW w:type="dxa" w:w="22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CC3178" w:rsidR="00634887" w:rsidRDefault="00AB737E">
            <w:pPr>
              <w:suppressAutoHyphens w:val="false"/>
              <w:spacing w:line="192" w:lineRule="auto"/>
              <w:jc w:val="center"/>
            </w:pPr>
            <w:r>
              <w:lastRenderedPageBreak/>
              <w:t xml:space="preserve">Кадастровый </w:t>
            </w:r>
          </w:p>
          <w:p w:rsidP="00CC3178" w:rsidR="00AB737E" w:rsidRDefault="00AB737E">
            <w:pPr>
              <w:suppressAutoHyphens w:val="false"/>
              <w:spacing w:line="192" w:lineRule="auto"/>
              <w:jc w:val="center"/>
            </w:pPr>
            <w:r>
              <w:t>номер земельного участка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CC3178" w:rsidR="00004305" w:rsidRDefault="00AB737E">
            <w:pPr>
              <w:suppressAutoHyphens w:val="false"/>
              <w:spacing w:line="192" w:lineRule="auto"/>
              <w:jc w:val="center"/>
            </w:pPr>
            <w:r>
              <w:t xml:space="preserve">Кадастровая стоимость </w:t>
            </w:r>
          </w:p>
          <w:p w:rsidP="00CC3178" w:rsidR="00CC3178" w:rsidRDefault="00AB737E">
            <w:pPr>
              <w:suppressAutoHyphens w:val="false"/>
              <w:spacing w:line="192" w:lineRule="auto"/>
              <w:jc w:val="center"/>
            </w:pPr>
            <w:r>
              <w:t>з</w:t>
            </w:r>
            <w:r>
              <w:t>е</w:t>
            </w:r>
            <w:r>
              <w:t xml:space="preserve">мельного участка, </w:t>
            </w:r>
          </w:p>
          <w:p w:rsidP="00CC3178" w:rsidR="00AB737E" w:rsidRDefault="00AB737E">
            <w:pPr>
              <w:suppressAutoHyphens w:val="false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CC3178" w:rsidR="00CC3178" w:rsidRDefault="00AB737E">
            <w:pPr>
              <w:suppressAutoHyphens w:val="false"/>
              <w:spacing w:line="192" w:lineRule="auto"/>
              <w:jc w:val="center"/>
            </w:pPr>
            <w:r w:rsidRPr="00D2660C">
              <w:t>Пл</w:t>
            </w:r>
            <w:r w:rsidRPr="00D2660C">
              <w:t>о</w:t>
            </w:r>
            <w:r w:rsidRPr="00D2660C">
              <w:t xml:space="preserve">щадь </w:t>
            </w:r>
            <w:proofErr w:type="gramStart"/>
            <w:r w:rsidRPr="00D2660C">
              <w:t>земель</w:t>
            </w:r>
            <w:r w:rsidR="00634887">
              <w:t>-</w:t>
            </w:r>
            <w:proofErr w:type="spellStart"/>
            <w:r w:rsidRPr="00D2660C">
              <w:t>ного</w:t>
            </w:r>
            <w:proofErr w:type="spellEnd"/>
            <w:proofErr w:type="gramEnd"/>
            <w:r w:rsidRPr="00D2660C">
              <w:t xml:space="preserve"> учас</w:t>
            </w:r>
            <w:r w:rsidRPr="00D2660C">
              <w:t>т</w:t>
            </w:r>
            <w:r w:rsidRPr="00D2660C">
              <w:t xml:space="preserve">ка, </w:t>
            </w:r>
          </w:p>
          <w:p w:rsidP="00CC3178" w:rsidR="00AB737E" w:rsidRDefault="00AB737E" w:rsidRPr="00D2660C">
            <w:pPr>
              <w:suppressAutoHyphens w:val="false"/>
              <w:spacing w:line="192" w:lineRule="auto"/>
              <w:jc w:val="center"/>
            </w:pPr>
            <w:r w:rsidRPr="00D2660C">
              <w:t>кв. м (</w:t>
            </w:r>
            <w:proofErr w:type="spellStart"/>
            <w:r w:rsidR="00D2660C" w:rsidRPr="00D2660C">
              <w:rPr>
                <w:rStyle w:val="a4"/>
                <w:b w:val="false"/>
              </w:rPr>
              <w:t>ПЛ</w:t>
            </w:r>
            <w:r w:rsidR="00D2660C" w:rsidRPr="00D2660C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="00D2660C" w:rsidRPr="00D2660C">
              <w:rPr>
                <w:rStyle w:val="a4"/>
                <w:b w:val="false"/>
                <w:vertAlign w:val="subscript"/>
              </w:rPr>
              <w:t>.</w:t>
            </w:r>
            <w:r w:rsidRPr="00634887">
              <w:rPr>
                <w:bCs/>
              </w:rPr>
              <w:t>)</w:t>
            </w:r>
          </w:p>
        </w:tc>
        <w:tc>
          <w:tcPr>
            <w:tcW w:type="dxa" w:w="11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CC3178" w:rsidR="00004305" w:rsidRDefault="00AB737E">
            <w:pPr>
              <w:suppressAutoHyphens w:val="false"/>
              <w:spacing w:line="192" w:lineRule="auto"/>
              <w:jc w:val="center"/>
            </w:pPr>
            <w:r w:rsidRPr="00D2660C">
              <w:t>Пл</w:t>
            </w:r>
            <w:r w:rsidRPr="00D2660C">
              <w:t>о</w:t>
            </w:r>
            <w:r w:rsidRPr="00D2660C">
              <w:t>щадь публи</w:t>
            </w:r>
            <w:r w:rsidRPr="00D2660C">
              <w:t>ч</w:t>
            </w:r>
            <w:r w:rsidRPr="00D2660C">
              <w:t>ного сервит</w:t>
            </w:r>
            <w:r w:rsidRPr="00D2660C">
              <w:t>у</w:t>
            </w:r>
            <w:r w:rsidRPr="00D2660C">
              <w:t xml:space="preserve">та, </w:t>
            </w:r>
          </w:p>
          <w:p w:rsidP="00CC3178" w:rsidR="00AB737E" w:rsidRDefault="00AB737E" w:rsidRPr="00D2660C">
            <w:pPr>
              <w:suppressAutoHyphens w:val="false"/>
              <w:spacing w:line="192" w:lineRule="auto"/>
              <w:jc w:val="center"/>
            </w:pPr>
            <w:r w:rsidRPr="00D2660C">
              <w:t>кв. м (</w:t>
            </w:r>
            <w:proofErr w:type="spellStart"/>
            <w:r w:rsidR="00D2660C" w:rsidRPr="00D2660C">
              <w:rPr>
                <w:rStyle w:val="a4"/>
                <w:b w:val="false"/>
              </w:rPr>
              <w:t>ПЛ</w:t>
            </w:r>
            <w:r w:rsidR="00D2660C" w:rsidRPr="00D2660C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 w:rsidRPr="00634887">
              <w:rPr>
                <w:bCs/>
              </w:rPr>
              <w:t>)</w:t>
            </w:r>
          </w:p>
        </w:tc>
        <w:tc>
          <w:tcPr>
            <w:tcW w:type="dxa" w:w="9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CC3178" w:rsidR="00AB737E" w:rsidRDefault="00AB737E">
            <w:pPr>
              <w:suppressAutoHyphens w:val="false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>циент платы за публи</w:t>
            </w:r>
            <w:r>
              <w:t>ч</w:t>
            </w:r>
            <w:r>
              <w:t>ный се</w:t>
            </w:r>
            <w:r>
              <w:t>р</w:t>
            </w:r>
            <w:r>
              <w:t xml:space="preserve">витут, </w:t>
            </w:r>
          </w:p>
          <w:p w:rsidP="00CC3178" w:rsidR="00F116F5" w:rsidRDefault="00AB737E">
            <w:pPr>
              <w:suppressAutoHyphens w:val="false"/>
              <w:spacing w:line="192" w:lineRule="auto"/>
              <w:jc w:val="center"/>
            </w:pPr>
            <w:r>
              <w:t>% (К)</w:t>
            </w:r>
          </w:p>
          <w:p w:rsidP="00CC3178" w:rsidR="00AB737E" w:rsidRDefault="00AB737E" w:rsidRPr="00F116F5">
            <w:pPr>
              <w:suppressAutoHyphens w:val="false"/>
            </w:pP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C3178" w:rsidR="00AB737E" w:rsidRDefault="00AB737E">
            <w:pPr>
              <w:suppressAutoHyphens w:val="false"/>
              <w:spacing w:line="192" w:lineRule="auto"/>
              <w:jc w:val="center"/>
            </w:pPr>
            <w:r>
              <w:t>Размер платы за публи</w:t>
            </w:r>
            <w:r>
              <w:t>ч</w:t>
            </w:r>
            <w:r>
              <w:t>ный сервитут в год, руб. (Р</w:t>
            </w:r>
            <w:r>
              <w:rPr>
                <w:vertAlign w:val="subscript"/>
              </w:rPr>
              <w:t>П</w:t>
            </w:r>
            <w:r w:rsidR="00634887">
              <w:t>)</w:t>
            </w:r>
          </w:p>
        </w:tc>
        <w:tc>
          <w:tcPr>
            <w:tcW w:type="dxa" w:w="127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C3178" w:rsidR="00AB737E" w:rsidRDefault="00AB737E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CC3178" w:rsidR="00AB737E" w:rsidRDefault="00AB737E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CC3178" w:rsidR="00CC3178" w:rsidRDefault="00AB737E">
            <w:pPr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публич-ный</w:t>
            </w:r>
            <w:proofErr w:type="spellEnd"/>
            <w:proofErr w:type="gramEnd"/>
            <w:r>
              <w:t xml:space="preserve"> серв</w:t>
            </w:r>
            <w:r>
              <w:t>и</w:t>
            </w:r>
            <w:r>
              <w:t xml:space="preserve">тут </w:t>
            </w:r>
          </w:p>
          <w:p w:rsidP="00CC3178" w:rsidR="00CC3178" w:rsidRDefault="00AB737E">
            <w:pPr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весь </w:t>
            </w:r>
          </w:p>
          <w:p w:rsidP="00CC3178" w:rsidR="00AB737E" w:rsidRDefault="00AB737E" w:rsidRPr="00F116F5">
            <w:pPr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>период, руб. (Р</w:t>
            </w:r>
            <w:r w:rsidRPr="00CC3178">
              <w:rPr>
                <w:vertAlign w:val="subscript"/>
              </w:rPr>
              <w:t>П</w:t>
            </w:r>
            <w:r>
              <w:t>)</w:t>
            </w:r>
          </w:p>
        </w:tc>
      </w:tr>
      <w:tr w:rsidR="00AB737E" w:rsidTr="005560DA">
        <w:tc>
          <w:tcPr>
            <w:tcW w:type="dxa" w:w="22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560DA" w:rsidR="00AB737E" w:rsidRDefault="007B318B">
            <w:pPr>
              <w:spacing w:line="228" w:lineRule="auto"/>
              <w:jc w:val="center"/>
            </w:pPr>
            <w:r w:rsidRPr="007B318B">
              <w:t>24:50:0100556:568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C3178" w:rsidR="00AB737E" w:rsidRDefault="007B318B">
            <w:pPr>
              <w:spacing w:line="228" w:lineRule="auto"/>
              <w:jc w:val="right"/>
            </w:pPr>
            <w:r>
              <w:t>724 180,30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560DA" w:rsidR="00AB737E" w:rsidRDefault="007B318B">
            <w:pPr>
              <w:spacing w:line="228" w:lineRule="auto"/>
              <w:jc w:val="center"/>
            </w:pPr>
            <w:r>
              <w:t>895</w:t>
            </w:r>
          </w:p>
        </w:tc>
        <w:tc>
          <w:tcPr>
            <w:tcW w:type="dxa" w:w="11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560DA" w:rsidR="00AB737E" w:rsidRDefault="007B318B">
            <w:pPr>
              <w:spacing w:line="228" w:lineRule="auto"/>
              <w:jc w:val="center"/>
            </w:pPr>
            <w:r w:rsidRPr="007B318B">
              <w:t>36,64</w:t>
            </w:r>
          </w:p>
        </w:tc>
        <w:tc>
          <w:tcPr>
            <w:tcW w:type="dxa" w:w="9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560DA" w:rsidR="00AB737E" w:rsidRDefault="00AB737E">
            <w:pPr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004305" w:rsidR="00D2660C" w:rsidRDefault="007B318B">
            <w:pPr>
              <w:spacing w:line="228" w:lineRule="auto"/>
              <w:jc w:val="right"/>
            </w:pPr>
            <w:r>
              <w:t>2,</w:t>
            </w:r>
            <w:bookmarkStart w:id="0" w:name="_GoBack"/>
            <w:bookmarkEnd w:id="0"/>
            <w:r>
              <w:t>9</w:t>
            </w:r>
            <w:r w:rsidR="00CE00A4">
              <w:t>6</w:t>
            </w:r>
          </w:p>
        </w:tc>
        <w:tc>
          <w:tcPr>
            <w:tcW w:type="dxa" w:w="127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C3178" w:rsidR="00D2660C" w:rsidRDefault="007B318B">
            <w:pPr>
              <w:spacing w:line="228" w:lineRule="auto"/>
              <w:jc w:val="right"/>
            </w:pPr>
            <w:r>
              <w:t>145,</w:t>
            </w:r>
            <w:r w:rsidR="00CE00A4">
              <w:t>04</w:t>
            </w:r>
          </w:p>
        </w:tc>
      </w:tr>
    </w:tbl>
    <w:p w:rsidP="00AB737E" w:rsidR="00CC3178" w:rsidRDefault="00CC3178">
      <w:pPr>
        <w:ind w:firstLine="709"/>
        <w:jc w:val="both"/>
        <w:rPr>
          <w:sz w:val="30"/>
          <w:szCs w:val="30"/>
        </w:rPr>
      </w:pPr>
    </w:p>
    <w:p w:rsidP="00AB737E" w:rsidR="00AB737E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Банковские реквизиты для оплаты</w:t>
      </w:r>
      <w:r w:rsidRPr="00634887">
        <w:rPr>
          <w:sz w:val="30"/>
          <w:szCs w:val="30"/>
        </w:rPr>
        <w:t>:</w:t>
      </w:r>
    </w:p>
    <w:p w:rsidP="00AB737E" w:rsidR="00AB737E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P="00AB737E" w:rsidR="00AB737E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AB737E" w:rsidR="00AB737E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AB737E" w:rsidR="00AB737E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AB737E" w:rsidR="00AB737E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AB737E" w:rsidR="00AB737E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 КБК 905 111</w:t>
      </w:r>
      <w:r w:rsidRPr="00AB737E">
        <w:rPr>
          <w:sz w:val="30"/>
          <w:szCs w:val="30"/>
        </w:rPr>
        <w:t xml:space="preserve"> 05410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P="00AB737E" w:rsidR="00AB737E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4F52AF" w:rsidR="001C1600" w:rsidRDefault="007B318B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CC3178" w:rsidR="00CC3178" w:rsidRDefault="00CC3178">
      <w:pPr>
        <w:widowControl w:val="false"/>
        <w:suppressAutoHyphens w:val="false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3781</wp:posOffset>
                </wp:positionH>
                <wp:positionV relativeFrom="paragraph">
                  <wp:posOffset>136387</wp:posOffset>
                </wp:positionV>
                <wp:extent cx="5955527" cy="0"/>
                <wp:effectExtent b="19050" l="0" r="26670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55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0.75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9.25pt,10.75pt"/>
            </w:pict>
          </mc:Fallback>
        </mc:AlternateContent>
      </w:r>
    </w:p>
    <w:sectPr w:rsidR="00CC3178" w:rsidSect="00CC3178">
      <w:headerReference r:id="rId9" w:type="default"/>
      <w:footerReference r:id="rId10" w:type="default"/>
      <w:pgSz w:code="9" w:h="16838" w:w="11906"/>
      <w:pgMar w:bottom="1134" w:footer="720" w:gutter="0" w:header="720" w:left="1985" w:right="567" w:top="1134"/>
      <w:pgNumType w:start="13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F7E9A" w:rsidRDefault="00BF7E9A">
      <w:r>
        <w:separator/>
      </w:r>
    </w:p>
  </w:endnote>
  <w:endnote w:type="continuationSeparator" w:id="0">
    <w:p w:rsidR="00BF7E9A" w:rsidRDefault="00BF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F7E9A" w:rsidRDefault="00BF7E9A">
      <w:r>
        <w:rPr>
          <w:color w:val="000000"/>
        </w:rPr>
        <w:separator/>
      </w:r>
    </w:p>
  </w:footnote>
  <w:footnote w:type="continuationSeparator" w:id="0">
    <w:p w:rsidR="00BF7E9A" w:rsidRDefault="00BF7E9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CC3178" w:rsidRDefault="000D7A1C">
    <w:pPr>
      <w:pStyle w:val="a6"/>
      <w:tabs>
        <w:tab w:val="left" w:pos="3782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004305">
      <w:rPr>
        <w:noProof/>
      </w:rPr>
      <w:t>15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doNotHyphenateCaps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04305"/>
    <w:rsid w:val="00024011"/>
    <w:rsid w:val="00024514"/>
    <w:rsid w:val="00043685"/>
    <w:rsid w:val="000504CD"/>
    <w:rsid w:val="000670BF"/>
    <w:rsid w:val="00087F10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560DA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34887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45E7"/>
    <w:rsid w:val="00792EBB"/>
    <w:rsid w:val="007A09F1"/>
    <w:rsid w:val="007A2A16"/>
    <w:rsid w:val="007A6A8C"/>
    <w:rsid w:val="007A77D2"/>
    <w:rsid w:val="007B318B"/>
    <w:rsid w:val="007B50A0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01C1A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80BDF"/>
    <w:rsid w:val="00AA2E3A"/>
    <w:rsid w:val="00AB6165"/>
    <w:rsid w:val="00AB737E"/>
    <w:rsid w:val="00AC1DF5"/>
    <w:rsid w:val="00AD74D9"/>
    <w:rsid w:val="00AE5B0F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BF7E9A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C3178"/>
    <w:rsid w:val="00CE00A4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57CA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306E"/>
    <w:rsid w:val="00EE6F07"/>
    <w:rsid w:val="00F04B4D"/>
    <w:rsid w:val="00F078CB"/>
    <w:rsid w:val="00F07B4E"/>
    <w:rsid w:val="00F116F5"/>
    <w:rsid w:val="00F25247"/>
    <w:rsid w:val="00F410EE"/>
    <w:rsid w:val="00F43A5F"/>
    <w:rsid w:val="00F544D8"/>
    <w:rsid w:val="00F60A40"/>
    <w:rsid w:val="00F61374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  <w:style w:styleId="af" w:type="paragraph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47427551-B593-4515-AEF1-253378259996}"/>
</file>

<file path=customXml/itemProps2.xml><?xml version="1.0" encoding="utf-8"?>
<ds:datastoreItem xmlns:ds="http://schemas.openxmlformats.org/officeDocument/2006/customXml" ds:itemID="{58BC386D-2644-4E95-BA2F-CE8945D549B8}"/>
</file>

<file path=customXml/itemProps3.xml><?xml version="1.0" encoding="utf-8"?>
<ds:datastoreItem xmlns:ds="http://schemas.openxmlformats.org/officeDocument/2006/customXml" ds:itemID="{57CD12CE-E05E-4AC2-9AEC-4209FF79550D}"/>
</file>

<file path=customXml/itemProps4.xml><?xml version="1.0" encoding="utf-8"?>
<ds:datastoreItem xmlns:ds="http://schemas.openxmlformats.org/officeDocument/2006/customXml" ds:itemID="{12F6F1F5-1252-43AB-B0DF-E06AEF98D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8</cp:revision>
  <cp:lastPrinted>2026-06-18T08:06:00Z</cp:lastPrinted>
  <dcterms:created xsi:type="dcterms:W3CDTF">2025-12-22T03:42:00Z</dcterms:created>
  <dcterms:modified xsi:type="dcterms:W3CDTF">2026-06-23T09:58:00Z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