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F46629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F466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6629" w:rsidRDefault="00F46629" w:rsidP="00F466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F466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6629" w:rsidRDefault="00F46629" w:rsidP="00F466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6629" w:rsidRPr="00E87893" w:rsidRDefault="00F46629" w:rsidP="00F466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693"/>
        <w:gridCol w:w="2319"/>
      </w:tblGrid>
      <w:tr w:rsidR="00AA29A5" w:rsidRPr="006B41AE" w:rsidTr="00CE6D98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AA29A5" w:rsidRPr="006B41AE" w:rsidRDefault="006E3DB9" w:rsidP="009927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9927CD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1707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CE6D98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F46629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CE6D98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CE6D98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9927CD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930D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CE6D98">
        <w:trPr>
          <w:trHeight w:val="113"/>
        </w:trPr>
        <w:tc>
          <w:tcPr>
            <w:tcW w:w="4315" w:type="dxa"/>
          </w:tcPr>
          <w:p w:rsidR="00F46629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F46629">
        <w:trPr>
          <w:trHeight w:val="440"/>
        </w:trPr>
        <w:tc>
          <w:tcPr>
            <w:tcW w:w="4315" w:type="dxa"/>
            <w:vMerge w:val="restart"/>
          </w:tcPr>
          <w:p w:rsidR="006B41AE" w:rsidRPr="006B41AE" w:rsidRDefault="00AA29A5" w:rsidP="00F466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F466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F466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46629">
        <w:trPr>
          <w:trHeight w:val="405"/>
        </w:trPr>
        <w:tc>
          <w:tcPr>
            <w:tcW w:w="4315" w:type="dxa"/>
            <w:vMerge/>
          </w:tcPr>
          <w:p w:rsidR="00AA29A5" w:rsidRPr="006B41AE" w:rsidRDefault="00AA29A5" w:rsidP="00F466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A29A5" w:rsidRPr="006B41AE" w:rsidRDefault="00AA29A5" w:rsidP="00F466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19" w:type="dxa"/>
          </w:tcPr>
          <w:p w:rsidR="00AA29A5" w:rsidRPr="006B41AE" w:rsidRDefault="00AA29A5" w:rsidP="00F466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F4662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1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626534.16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90011.94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626524.55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90000.74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626523.58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89999.09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626523.22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89999.16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626522.28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89995.47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626524.02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89993.98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626537.20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90009.34</w:t>
            </w:r>
          </w:p>
        </w:tc>
      </w:tr>
      <w:tr w:rsidR="009927CD" w:rsidRPr="006B41AE" w:rsidTr="00F46629">
        <w:trPr>
          <w:trHeight w:val="113"/>
        </w:trPr>
        <w:tc>
          <w:tcPr>
            <w:tcW w:w="4315" w:type="dxa"/>
            <w:vAlign w:val="center"/>
          </w:tcPr>
          <w:p w:rsidR="009927CD" w:rsidRPr="009927CD" w:rsidRDefault="009927CD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626534.16</w:t>
            </w:r>
          </w:p>
        </w:tc>
        <w:tc>
          <w:tcPr>
            <w:tcW w:w="2319" w:type="dxa"/>
            <w:vAlign w:val="center"/>
          </w:tcPr>
          <w:p w:rsidR="009927CD" w:rsidRPr="009927CD" w:rsidRDefault="009927CD" w:rsidP="00781A9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27CD">
              <w:rPr>
                <w:rFonts w:ascii="Times New Roman" w:hAnsi="Times New Roman" w:cs="Times New Roman"/>
                <w:sz w:val="30"/>
                <w:szCs w:val="30"/>
              </w:rPr>
              <w:t>90011.94</w:t>
            </w:r>
          </w:p>
        </w:tc>
      </w:tr>
    </w:tbl>
    <w:sdt>
      <w:sdtPr>
        <w:rPr>
          <w:rFonts w:ascii="Times New Roman" w:eastAsia="Times New Roman" w:hAnsi="Times New Roman" w:cs="Times New Roman"/>
          <w:sz w:val="30"/>
          <w:szCs w:val="30"/>
          <w:lang w:eastAsia="ru-RU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7796"/>
          </w:tblGrid>
          <w:tr w:rsidR="00526743" w:rsidRPr="00E87893" w:rsidTr="00F46629">
            <w:tc>
              <w:tcPr>
                <w:tcW w:w="9356" w:type="dxa"/>
                <w:gridSpan w:val="2"/>
                <w:tcBorders>
                  <w:top w:val="single" w:sz="4" w:space="0" w:color="auto"/>
                  <w:bottom w:val="single" w:sz="2" w:space="0" w:color="auto"/>
                </w:tcBorders>
                <w:vAlign w:val="center"/>
              </w:tcPr>
              <w:p w:rsidR="00526743" w:rsidRPr="00E87893" w:rsidRDefault="009927CD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ACABAD4" wp14:editId="0E6E1EE0">
                      <wp:extent cx="5645426" cy="5947575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b12b18b-45d2-4efc-8d5a-5df26aa0539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1653" cy="594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1A33245" wp14:editId="5CCC521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F46629">
            <w:tc>
              <w:tcPr>
                <w:tcW w:w="9356" w:type="dxa"/>
                <w:gridSpan w:val="2"/>
                <w:tcBorders>
                  <w:top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46629" w:rsidRPr="00F46629" w:rsidRDefault="00F46629" w:rsidP="009927C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  <w:bookmarkStart w:id="1" w:name="MP_USM_USL_PAGE"/>
              </w:p>
              <w:p w:rsidR="000C47D7" w:rsidRDefault="00551D5E" w:rsidP="009927C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9927C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1000</w:t>
                </w:r>
              </w:p>
              <w:p w:rsidR="00F46629" w:rsidRPr="00F46629" w:rsidRDefault="00F46629" w:rsidP="009927C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</w:tr>
          <w:tr w:rsidR="00F65BB5" w:rsidRPr="00E87893" w:rsidTr="00F46629">
            <w:trPr>
              <w:trHeight w:val="488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0C47D7" w:rsidRPr="00F46629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F46629" w:rsidRPr="00E87893" w:rsidTr="00F46629">
            <w:trPr>
              <w:trHeight w:val="638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46629" w:rsidRPr="00EB46EB" w:rsidRDefault="00F46629" w:rsidP="00F466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25751737" wp14:editId="180865EF">
                      <wp:extent cx="540385" cy="286385"/>
                      <wp:effectExtent l="19050" t="19050" r="12065" b="18415"/>
                      <wp:docPr id="19" name="Рисунок 1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46629" w:rsidRPr="00EB46EB" w:rsidRDefault="00F46629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характерная точка границы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46629" w:rsidRPr="00E87893" w:rsidTr="00F46629">
            <w:trPr>
              <w:trHeight w:val="638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46629" w:rsidRPr="00A906A0" w:rsidRDefault="00F46629" w:rsidP="00F466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153B4A35" wp14:editId="1E9A9891">
                      <wp:extent cx="540385" cy="286385"/>
                      <wp:effectExtent l="19050" t="19050" r="12065" b="18415"/>
                      <wp:docPr id="18" name="Рисунок 1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46629" w:rsidRPr="00A906A0" w:rsidRDefault="00F46629" w:rsidP="006204DF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граница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46629" w:rsidRPr="00E87893" w:rsidTr="00F46629">
            <w:trPr>
              <w:trHeight w:val="972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46629" w:rsidRPr="00A906A0" w:rsidRDefault="00F46629" w:rsidP="00F466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CE2385A" wp14:editId="7D989B33">
                      <wp:extent cx="535940" cy="283845"/>
                      <wp:effectExtent l="0" t="0" r="0" b="1905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d149633-ea1e-48cb-8722-b9ee32435f7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46629" w:rsidRDefault="00F46629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часть границы,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сведения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в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ЕГРН о которой позволяют </w:t>
                </w:r>
              </w:p>
              <w:p w:rsidR="00F46629" w:rsidRPr="00A906A0" w:rsidRDefault="00F46629" w:rsidP="006204DF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нозначно определить </w:t>
                </w:r>
                <w:proofErr w:type="spellStart"/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положение на местности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46629" w:rsidRPr="00E87893" w:rsidTr="00F46629">
            <w:trPr>
              <w:trHeight w:val="638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46629" w:rsidRDefault="00F46629" w:rsidP="00F46629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 w:rsidRPr="0046184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527</w:t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46629" w:rsidRPr="00A906A0" w:rsidRDefault="00F46629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надписи кадастрового номера земельного участка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46629" w:rsidRPr="00E87893" w:rsidTr="00F46629">
            <w:trPr>
              <w:trHeight w:val="638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46629" w:rsidRPr="00F46629" w:rsidRDefault="00F46629" w:rsidP="00F466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6629">
                  <w:rPr>
                    <w:rFonts w:ascii="Times New Roman" w:eastAsia="Times New Roman" w:hAnsi="Times New Roman" w:cs="Times New Roman"/>
                    <w:color w:val="4C0FE3"/>
                    <w:sz w:val="20"/>
                    <w:szCs w:val="20"/>
                    <w:lang w:eastAsia="ru-RU"/>
                  </w:rPr>
                  <w:t>24:50:0700406</w:t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46629" w:rsidRPr="00A906A0" w:rsidRDefault="00F46629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обозначение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46629" w:rsidRPr="00E87893" w:rsidTr="00F46629">
            <w:trPr>
              <w:trHeight w:val="638"/>
            </w:trPr>
            <w:tc>
              <w:tcPr>
                <w:tcW w:w="1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46629" w:rsidRPr="00A906A0" w:rsidRDefault="00F46629" w:rsidP="00F4662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4C0FE3"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09878584" wp14:editId="2F19C430">
                      <wp:extent cx="540385" cy="286385"/>
                      <wp:effectExtent l="19050" t="19050" r="12065" b="18415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46629" w:rsidRPr="00A906A0" w:rsidRDefault="00F46629" w:rsidP="006204DF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</w:sdtContent>
    </w:sdt>
    <w:p w:rsidR="004633BB" w:rsidRPr="00F46629" w:rsidRDefault="004633BB" w:rsidP="00F46629">
      <w:pPr>
        <w:rPr>
          <w:rFonts w:ascii="Times New Roman" w:hAnsi="Times New Roman" w:cs="Times New Roman"/>
          <w:sz w:val="2"/>
          <w:szCs w:val="2"/>
        </w:rPr>
      </w:pPr>
    </w:p>
    <w:sectPr w:rsidR="004633BB" w:rsidRPr="00F46629" w:rsidSect="00F46629">
      <w:headerReference w:type="default" r:id="rId13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C0" w:rsidRDefault="002843C0" w:rsidP="00E51C66">
      <w:pPr>
        <w:spacing w:after="0" w:line="240" w:lineRule="auto"/>
      </w:pPr>
      <w:r>
        <w:separator/>
      </w:r>
    </w:p>
  </w:endnote>
  <w:endnote w:type="continuationSeparator" w:id="0">
    <w:p w:rsidR="002843C0" w:rsidRDefault="002843C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C0" w:rsidRDefault="002843C0" w:rsidP="00E51C66">
      <w:pPr>
        <w:spacing w:after="0" w:line="240" w:lineRule="auto"/>
      </w:pPr>
      <w:r>
        <w:separator/>
      </w:r>
    </w:p>
  </w:footnote>
  <w:footnote w:type="continuationSeparator" w:id="0">
    <w:p w:rsidR="002843C0" w:rsidRDefault="002843C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269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F46629" w:rsidRDefault="00F46629" w:rsidP="00F4662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66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66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66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466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47D7"/>
    <w:rsid w:val="000C6769"/>
    <w:rsid w:val="000D27AE"/>
    <w:rsid w:val="000F25C6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843C0"/>
    <w:rsid w:val="002A1C5F"/>
    <w:rsid w:val="002A1FD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184E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556D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0D73"/>
    <w:rsid w:val="00935342"/>
    <w:rsid w:val="00943B5E"/>
    <w:rsid w:val="00964F01"/>
    <w:rsid w:val="00986E87"/>
    <w:rsid w:val="009927CD"/>
    <w:rsid w:val="009A7D12"/>
    <w:rsid w:val="009C2902"/>
    <w:rsid w:val="009E35DA"/>
    <w:rsid w:val="00A01588"/>
    <w:rsid w:val="00A21AE9"/>
    <w:rsid w:val="00A33F72"/>
    <w:rsid w:val="00A54697"/>
    <w:rsid w:val="00A854A9"/>
    <w:rsid w:val="00A906A0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E6D98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46629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88936194-2846-4C57-8972-5185CF8BD3BA}"/>
</file>

<file path=customXml/itemProps2.xml><?xml version="1.0" encoding="utf-8"?>
<ds:datastoreItem xmlns:ds="http://schemas.openxmlformats.org/officeDocument/2006/customXml" ds:itemID="{2695EF7B-3338-4B21-AC36-D68888110C2C}"/>
</file>

<file path=customXml/itemProps3.xml><?xml version="1.0" encoding="utf-8"?>
<ds:datastoreItem xmlns:ds="http://schemas.openxmlformats.org/officeDocument/2006/customXml" ds:itemID="{A7C1FA4F-94F1-44AA-AFAB-973BF7C72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21</cp:revision>
  <cp:lastPrinted>2025-08-26T04:36:00Z</cp:lastPrinted>
  <dcterms:created xsi:type="dcterms:W3CDTF">2023-07-24T03:34:00Z</dcterms:created>
  <dcterms:modified xsi:type="dcterms:W3CDTF">2025-08-28T04:44:00Z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