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67402F" w:rsidRDefault="0067402F">
      <w:pPr>
        <w:jc w:val="center"/>
        <w:rPr>
          <w:rStyle w:val="a4"/>
          <w:b w:val="false"/>
          <w:sz w:val="30"/>
          <w:szCs w:val="30"/>
        </w:rPr>
      </w:pPr>
    </w:p>
    <w:p w:rsidP="00131518" w:rsidR="00056777" w:rsidRDefault="00056777">
      <w:pPr>
        <w:jc w:val="center"/>
        <w:rPr>
          <w:rStyle w:val="a4"/>
          <w:b w:val="false"/>
          <w:sz w:val="30"/>
          <w:szCs w:val="30"/>
        </w:rPr>
      </w:pPr>
    </w:p>
    <w:p w:rsidP="00131518" w:rsidR="00056777" w:rsidRDefault="00056777" w:rsidRPr="008F6791">
      <w:pPr>
        <w:jc w:val="center"/>
        <w:rPr>
          <w:rStyle w:val="a4"/>
          <w:b w:val="false"/>
          <w:sz w:val="30"/>
          <w:szCs w:val="30"/>
        </w:rPr>
      </w:pPr>
    </w:p>
    <w:p w:rsidP="00F64E68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F64E68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131518" w:rsidR="0067402F" w:rsidRDefault="0067402F">
      <w:pPr>
        <w:jc w:val="center"/>
        <w:rPr>
          <w:rStyle w:val="a4"/>
          <w:b w:val="false"/>
          <w:sz w:val="30"/>
          <w:szCs w:val="30"/>
        </w:rPr>
      </w:pPr>
    </w:p>
    <w:p w:rsidP="00131518" w:rsidR="00EE4E5A" w:rsidRDefault="00EE4E5A" w:rsidRPr="008F6791">
      <w:pPr>
        <w:jc w:val="center"/>
        <w:rPr>
          <w:rStyle w:val="a4"/>
          <w:b w:val="false"/>
          <w:sz w:val="30"/>
          <w:szCs w:val="30"/>
        </w:rPr>
      </w:pPr>
    </w:p>
    <w:p w:rsidP="00601F63" w:rsidR="00601F63" w:rsidRDefault="00601F63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false"/>
          <w:sz w:val="30"/>
          <w:szCs w:val="30"/>
        </w:rPr>
        <w:t xml:space="preserve">                </w:t>
      </w:r>
      <w:r w:rsidRPr="008F6791">
        <w:rPr>
          <w:rStyle w:val="a4"/>
          <w:b w:val="false"/>
          <w:sz w:val="30"/>
          <w:szCs w:val="30"/>
        </w:rPr>
        <w:t xml:space="preserve">государственная собственность на которые не разграничена, </w:t>
      </w:r>
      <w:r>
        <w:rPr>
          <w:rStyle w:val="a4"/>
          <w:b w:val="false"/>
          <w:sz w:val="30"/>
          <w:szCs w:val="30"/>
        </w:rPr>
        <w:t xml:space="preserve">                           </w:t>
      </w:r>
      <w:r w:rsidRPr="008F6791">
        <w:rPr>
          <w:rStyle w:val="a4"/>
          <w:b w:val="false"/>
          <w:sz w:val="30"/>
          <w:szCs w:val="30"/>
        </w:rPr>
        <w:t>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601F63" w:rsidR="00601F63" w:rsidRDefault="00601F63" w:rsidRPr="00EE4E5A">
      <w:pPr>
        <w:widowControl w:val="false"/>
        <w:suppressAutoHyphens w:val="false"/>
        <w:ind w:firstLine="709"/>
        <w:jc w:val="both"/>
        <w:rPr>
          <w:rStyle w:val="a4"/>
          <w:b w:val="false"/>
          <w:sz w:val="32"/>
          <w:szCs w:val="32"/>
        </w:rPr>
      </w:pPr>
    </w:p>
    <w:p w:rsidP="00601F63" w:rsidR="00601F63" w:rsidRDefault="00601F63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601F63" w:rsidR="00601F63" w:rsidRDefault="00601F63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601F63" w:rsidR="00601F63" w:rsidRDefault="00601F63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601F63" w:rsidR="00601F63" w:rsidRDefault="00601F6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601F63" w:rsidR="00601F63" w:rsidRDefault="00601F6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601F63" w:rsidR="00601F63" w:rsidRDefault="00601F63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proofErr w:type="gramEnd"/>
      <w:r w:rsidRPr="008F6791">
        <w:rPr>
          <w:sz w:val="30"/>
          <w:szCs w:val="30"/>
        </w:rPr>
        <w:t>тутом, за весь срок сервитута;</w:t>
      </w:r>
    </w:p>
    <w:p w:rsidP="00601F63" w:rsidR="00601F63" w:rsidRDefault="00601F6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601F63" w:rsidR="00601F63" w:rsidRDefault="00601F63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false"/>
          <w:sz w:val="30"/>
          <w:szCs w:val="30"/>
        </w:rPr>
        <w:t>аблице</w:t>
      </w:r>
      <w:r w:rsidR="008E6F52">
        <w:rPr>
          <w:rStyle w:val="a4"/>
          <w:b w:val="false"/>
          <w:sz w:val="30"/>
          <w:szCs w:val="30"/>
        </w:rPr>
        <w:t xml:space="preserve"> 1</w:t>
      </w:r>
      <w:r w:rsidRPr="008F6791">
        <w:rPr>
          <w:rStyle w:val="a4"/>
          <w:b w:val="false"/>
          <w:sz w:val="30"/>
          <w:szCs w:val="30"/>
        </w:rPr>
        <w:t>.</w:t>
      </w:r>
    </w:p>
    <w:p w:rsidP="00FB7131" w:rsidR="00601F63" w:rsidRDefault="00381AF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Таблица</w:t>
      </w:r>
      <w:r w:rsidR="008E6F52">
        <w:rPr>
          <w:sz w:val="30"/>
          <w:szCs w:val="30"/>
        </w:rPr>
        <w:t xml:space="preserve"> 1</w:t>
      </w:r>
      <w:r w:rsidR="00601F63">
        <w:rPr>
          <w:sz w:val="30"/>
          <w:szCs w:val="30"/>
        </w:rPr>
        <w:t xml:space="preserve">. </w:t>
      </w:r>
      <w:r w:rsidR="00601F63" w:rsidRPr="008F6791">
        <w:rPr>
          <w:sz w:val="30"/>
          <w:szCs w:val="30"/>
        </w:rPr>
        <w:t xml:space="preserve">Размер платы за публичный сервитут </w:t>
      </w:r>
      <w:r w:rsidR="00601F63" w:rsidRPr="008F6791">
        <w:rPr>
          <w:rStyle w:val="a4"/>
          <w:b w:val="false"/>
          <w:sz w:val="30"/>
          <w:szCs w:val="30"/>
        </w:rPr>
        <w:t>в отношении з</w:t>
      </w:r>
      <w:r w:rsidR="00601F63" w:rsidRPr="008F6791">
        <w:rPr>
          <w:rStyle w:val="a4"/>
          <w:b w:val="false"/>
          <w:sz w:val="30"/>
          <w:szCs w:val="30"/>
        </w:rPr>
        <w:t>е</w:t>
      </w:r>
      <w:r w:rsidR="00601F63" w:rsidRPr="008F6791">
        <w:rPr>
          <w:rStyle w:val="a4"/>
          <w:b w:val="false"/>
          <w:sz w:val="30"/>
          <w:szCs w:val="30"/>
        </w:rPr>
        <w:t>мель, государственная собственность на которые не раз</w:t>
      </w:r>
      <w:r w:rsidR="00601F63">
        <w:rPr>
          <w:rStyle w:val="a4"/>
          <w:b w:val="false"/>
          <w:sz w:val="30"/>
          <w:szCs w:val="30"/>
        </w:rPr>
        <w:t>граничена</w:t>
      </w:r>
      <w:r w:rsidR="00FB7131">
        <w:rPr>
          <w:rStyle w:val="a4"/>
          <w:b w:val="false"/>
          <w:sz w:val="30"/>
          <w:szCs w:val="30"/>
        </w:rPr>
        <w:t>.</w:t>
      </w:r>
    </w:p>
    <w:p w:rsidP="00DE30C1" w:rsidR="00056777" w:rsidRDefault="00056777" w:rsidRPr="00EE4E5A">
      <w:pPr>
        <w:ind w:firstLine="709"/>
        <w:jc w:val="both"/>
        <w:rPr>
          <w:sz w:val="28"/>
          <w:szCs w:val="28"/>
        </w:rPr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4"/>
        <w:gridCol w:w="1545"/>
        <w:gridCol w:w="1824"/>
        <w:gridCol w:w="1338"/>
        <w:gridCol w:w="1457"/>
        <w:gridCol w:w="1455"/>
      </w:tblGrid>
      <w:tr w:rsidR="00601F63" w:rsidRPr="008F6791" w:rsidTr="0002581D">
        <w:trPr>
          <w:trHeight w:val="1941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C95B43" w:rsidR="00601F63" w:rsidRDefault="00601F63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C95B43" w:rsidR="00601F63" w:rsidRDefault="00601F63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C95B43" w:rsidR="00601F63" w:rsidRDefault="00601F63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EE4E5A">
              <w:rPr>
                <w:vertAlign w:val="subscript"/>
              </w:rPr>
              <w:t>П</w:t>
            </w:r>
            <w:r>
              <w:t>)</w:t>
            </w:r>
          </w:p>
        </w:tc>
      </w:tr>
      <w:tr w:rsidR="00601F63" w:rsidRPr="008F6791" w:rsidTr="0002581D">
        <w:trPr>
          <w:trHeight w:val="357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C95B43" w:rsidR="00601F63" w:rsidRDefault="008E6F52" w:rsidRPr="00D53E4E">
            <w:pPr>
              <w:widowControl w:val="false"/>
              <w:suppressAutoHyphens w:val="false"/>
              <w:jc w:val="center"/>
            </w:pPr>
            <w:r w:rsidRPr="008E6F52">
              <w:t>24:50:0100412</w:t>
            </w:r>
          </w:p>
        </w:tc>
        <w:tc>
          <w:tcPr>
            <w:tcW w:type="pct" w:w="8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601F63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8E6F52" w:rsidRPr="00D53E4E">
            <w:pPr>
              <w:widowControl w:val="false"/>
              <w:suppressAutoHyphens w:val="false"/>
              <w:jc w:val="center"/>
            </w:pPr>
            <w:r>
              <w:t>457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95B43" w:rsidR="00601F63" w:rsidRDefault="00601F63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95B43" w:rsidR="00601F63" w:rsidRDefault="008E6F52" w:rsidRPr="009423E0">
            <w:pPr>
              <w:widowControl w:val="false"/>
              <w:suppressAutoHyphens w:val="false"/>
              <w:jc w:val="right"/>
            </w:pPr>
            <w:r w:rsidRPr="008E6F52">
              <w:t>45,63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95B43" w:rsidR="00601F63" w:rsidRDefault="008E6F52" w:rsidRPr="009423E0">
            <w:pPr>
              <w:widowControl w:val="false"/>
              <w:suppressAutoHyphens w:val="false"/>
              <w:ind w:left="-57" w:right="57"/>
              <w:jc w:val="right"/>
            </w:pPr>
            <w:r w:rsidRPr="008E6F52">
              <w:t>2 235,87</w:t>
            </w:r>
          </w:p>
        </w:tc>
      </w:tr>
    </w:tbl>
    <w:p w:rsidP="00DE30C1" w:rsidR="00381AF7" w:rsidRDefault="00381AF7">
      <w:pPr>
        <w:suppressAutoHyphens w:val="false"/>
        <w:ind w:firstLine="709"/>
        <w:jc w:val="both"/>
        <w:rPr>
          <w:sz w:val="30"/>
          <w:szCs w:val="30"/>
        </w:rPr>
      </w:pPr>
    </w:p>
    <w:p w:rsidP="008E6F52" w:rsidR="008E6F52" w:rsidRDefault="008E6F52">
      <w:pPr>
        <w:suppressAutoHyphens w:val="false"/>
        <w:ind w:firstLine="710"/>
        <w:jc w:val="both"/>
        <w:rPr>
          <w:rStyle w:val="a4"/>
          <w:b w:val="false"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2. </w:t>
      </w:r>
      <w:r w:rsidRPr="00F86825">
        <w:rPr>
          <w:bCs/>
          <w:sz w:val="30"/>
          <w:szCs w:val="30"/>
        </w:rPr>
        <w:t>Расчет платы за публичный сервитут в отношении части з</w:t>
      </w:r>
      <w:r w:rsidRPr="00F86825">
        <w:rPr>
          <w:bCs/>
          <w:sz w:val="30"/>
          <w:szCs w:val="30"/>
        </w:rPr>
        <w:t>е</w:t>
      </w:r>
      <w:r w:rsidRPr="00F86825">
        <w:rPr>
          <w:bCs/>
          <w:sz w:val="30"/>
          <w:szCs w:val="30"/>
        </w:rPr>
        <w:t>мельного участка, государственная собственность на который не ра</w:t>
      </w:r>
      <w:r w:rsidRPr="00F86825">
        <w:rPr>
          <w:bCs/>
          <w:sz w:val="30"/>
          <w:szCs w:val="30"/>
        </w:rPr>
        <w:t>з</w:t>
      </w:r>
      <w:r w:rsidRPr="00F86825">
        <w:rPr>
          <w:bCs/>
          <w:sz w:val="30"/>
          <w:szCs w:val="30"/>
        </w:rPr>
        <w:t>граничена, исчисляется по формуле:</w:t>
      </w:r>
    </w:p>
    <w:p w:rsidP="008E6F52" w:rsidR="008E6F52" w:rsidRDefault="008E6F52" w:rsidRPr="00D75A9B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8E6F52" w:rsidR="008E6F52" w:rsidRDefault="00F82CEB" w:rsidRPr="00D75A9B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8E6F52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8E6F52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8E6F52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8E6F52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8E6F52" w:rsidRPr="00D75A9B">
        <w:rPr>
          <w:rStyle w:val="a4"/>
          <w:b w:val="false"/>
          <w:bCs w:val="false"/>
          <w:sz w:val="30"/>
          <w:szCs w:val="30"/>
        </w:rPr>
        <w:t>,</w:t>
      </w:r>
    </w:p>
    <w:p w:rsidP="008E6F52" w:rsidR="008E6F52" w:rsidRDefault="008E6F52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8E6F52" w:rsidR="008E6F52" w:rsidRDefault="008E6F52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8E6F52" w:rsidR="008E6F52" w:rsidRDefault="008E6F52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8E6F52" w:rsidR="008E6F52" w:rsidRDefault="008E6F52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8E6F52" w:rsidR="008E6F52" w:rsidRDefault="008E6F52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тут, установленный на три года и более, не может быть менее чем </w:t>
      </w:r>
      <w:r w:rsidR="00EE4E5A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>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8E6F52" w:rsidR="008E6F52" w:rsidRDefault="008E6F52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8E6F52" w:rsidR="008E6F52" w:rsidRDefault="008E6F52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8E6F52" w:rsidR="008E6F52" w:rsidRDefault="008E6F52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2</w:t>
      </w:r>
      <w:r w:rsidRPr="00D75A9B">
        <w:rPr>
          <w:bCs/>
          <w:sz w:val="30"/>
          <w:szCs w:val="30"/>
        </w:rPr>
        <w:t>.</w:t>
      </w:r>
    </w:p>
    <w:p w:rsidP="008E6F52" w:rsidR="008E6F52" w:rsidRDefault="008E6F5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 2.</w:t>
      </w:r>
      <w:r w:rsidRPr="00D75A9B">
        <w:rPr>
          <w:sz w:val="30"/>
          <w:szCs w:val="30"/>
        </w:rPr>
        <w:t xml:space="preserve"> </w:t>
      </w:r>
      <w:r w:rsidRPr="00D6125F">
        <w:rPr>
          <w:sz w:val="30"/>
          <w:szCs w:val="30"/>
        </w:rPr>
        <w:t>Расчет платы за публичный сервитут в отношении части земельного участка, государственная собственность на который не разграничена</w:t>
      </w:r>
      <w:r>
        <w:rPr>
          <w:sz w:val="30"/>
          <w:szCs w:val="30"/>
        </w:rPr>
        <w:t>.</w:t>
      </w:r>
    </w:p>
    <w:p w:rsidP="008E6F52" w:rsidR="00EE4E5A" w:rsidRDefault="00EE4E5A">
      <w:pPr>
        <w:ind w:firstLine="709"/>
        <w:jc w:val="both"/>
        <w:rPr>
          <w:sz w:val="30"/>
          <w:szCs w:val="30"/>
        </w:rPr>
      </w:pPr>
    </w:p>
    <w:tbl>
      <w:tblPr>
        <w:tblW w:type="pct" w:w="5000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232"/>
        <w:gridCol w:w="1419"/>
        <w:gridCol w:w="1135"/>
        <w:gridCol w:w="1133"/>
        <w:gridCol w:w="1135"/>
        <w:gridCol w:w="1135"/>
        <w:gridCol w:w="1283"/>
      </w:tblGrid>
      <w:tr w:rsidR="00EE4E5A" w:rsidRPr="00D75A9B" w:rsidTr="00EE4E5A">
        <w:trPr>
          <w:trHeight w:val="1902"/>
        </w:trPr>
        <w:tc>
          <w:tcPr>
            <w:tcW w:type="pct" w:w="1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 xml:space="preserve">Кадастровый </w:t>
            </w:r>
          </w:p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номер земельного участка</w:t>
            </w:r>
          </w:p>
        </w:tc>
        <w:tc>
          <w:tcPr>
            <w:tcW w:type="pct" w:w="7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</w:t>
            </w:r>
            <w:r w:rsidRPr="00D75A9B">
              <w:t>о</w:t>
            </w:r>
            <w:r w:rsidRPr="00D75A9B">
              <w:t>вая сто</w:t>
            </w:r>
            <w:r w:rsidRPr="00D75A9B">
              <w:t>и</w:t>
            </w:r>
            <w:r w:rsidRPr="00D75A9B">
              <w:t>мость з</w:t>
            </w:r>
            <w:r w:rsidRPr="00D75A9B">
              <w:t>е</w:t>
            </w:r>
            <w:r w:rsidRPr="00D75A9B">
              <w:t xml:space="preserve">мельного участка, </w:t>
            </w:r>
          </w:p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type="pct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>ного участка,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</w:t>
            </w:r>
            <w:proofErr w:type="gramStart"/>
            <w:r w:rsidRPr="00BA6998">
              <w:rPr>
                <w:bCs/>
                <w:vertAlign w:val="subscript"/>
              </w:rPr>
              <w:t>у</w:t>
            </w:r>
            <w:proofErr w:type="spellEnd"/>
            <w:proofErr w:type="gram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5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>циент платы за публи</w:t>
            </w:r>
            <w:r w:rsidRPr="00D75A9B">
              <w:t>ч</w:t>
            </w:r>
            <w:r w:rsidRPr="00D75A9B">
              <w:t>ный се</w:t>
            </w:r>
            <w:r w:rsidRPr="00D75A9B">
              <w:t>р</w:t>
            </w:r>
            <w:r w:rsidRPr="00D75A9B">
              <w:t>витут,</w:t>
            </w:r>
          </w:p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9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Размер платы за публи</w:t>
            </w:r>
            <w:r w:rsidRPr="002C64D7">
              <w:t>ч</w:t>
            </w:r>
            <w:r w:rsidRPr="002C64D7">
              <w:t>ный се</w:t>
            </w:r>
            <w:r w:rsidRPr="002C64D7">
              <w:t>р</w:t>
            </w:r>
            <w:r w:rsidRPr="002C64D7">
              <w:t xml:space="preserve">витут </w:t>
            </w:r>
          </w:p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в год, </w:t>
            </w:r>
          </w:p>
          <w:p w:rsidP="00EE4E5A" w:rsidR="00EE4E5A" w:rsidRDefault="00EE4E5A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6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E4E5A" w:rsidR="00EE4E5A" w:rsidRDefault="00EE4E5A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EE4E5A" w:rsidR="00EE4E5A" w:rsidRDefault="00EE4E5A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EE4E5A" w:rsidR="00EE4E5A" w:rsidRDefault="00EE4E5A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P="00EE4E5A" w:rsidR="00EE4E5A" w:rsidRDefault="00EE4E5A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EE4E5A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EE4E5A" w:rsidRPr="00FA2984" w:rsidTr="00EE4E5A">
        <w:tc>
          <w:tcPr>
            <w:tcW w:type="pct" w:w="1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EE4E5A" w:rsidR="00EE4E5A" w:rsidRDefault="00EE4E5A">
            <w:r w:rsidRPr="008E6F52">
              <w:t>24:50:0100412:232</w:t>
            </w:r>
          </w:p>
        </w:tc>
        <w:tc>
          <w:tcPr>
            <w:tcW w:type="pct" w:w="7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FB7131" w:rsidR="00EE4E5A" w:rsidRDefault="00EE4E5A">
            <w:pPr>
              <w:jc w:val="right"/>
            </w:pPr>
            <w:r>
              <w:t>26 264,43</w:t>
            </w:r>
          </w:p>
        </w:tc>
        <w:tc>
          <w:tcPr>
            <w:tcW w:type="pct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E6F52" w:rsidR="00EE4E5A" w:rsidRDefault="00EE4E5A">
            <w:pPr>
              <w:jc w:val="center"/>
            </w:pPr>
            <w:r>
              <w:t>29</w:t>
            </w:r>
          </w:p>
        </w:tc>
        <w:tc>
          <w:tcPr>
            <w:tcW w:type="pct" w:w="5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E6F52" w:rsidR="00EE4E5A" w:rsidRDefault="00EE4E5A">
            <w:pPr>
              <w:jc w:val="center"/>
            </w:pPr>
            <w:r>
              <w:t>28</w:t>
            </w:r>
          </w:p>
        </w:tc>
        <w:tc>
          <w:tcPr>
            <w:tcW w:type="pct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AB7B1A" w:rsidR="00EE4E5A" w:rsidRDefault="00EE4E5A" w:rsidRPr="00C9036A">
            <w:pPr>
              <w:jc w:val="center"/>
            </w:pPr>
            <w:r>
              <w:t>0,01</w:t>
            </w:r>
          </w:p>
        </w:tc>
        <w:tc>
          <w:tcPr>
            <w:tcW w:type="pct" w:w="59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FB7131" w:rsidR="00EE4E5A" w:rsidRDefault="00EE4E5A">
            <w:pPr>
              <w:jc w:val="right"/>
            </w:pPr>
            <w:r w:rsidRPr="008E6F52">
              <w:t>2,54</w:t>
            </w:r>
          </w:p>
        </w:tc>
        <w:tc>
          <w:tcPr>
            <w:tcW w:type="pct" w:w="6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FB7131" w:rsidR="00EE4E5A" w:rsidRDefault="00EE4E5A">
            <w:pPr>
              <w:jc w:val="right"/>
            </w:pPr>
            <w:r w:rsidRPr="008E6F52">
              <w:t>124,46</w:t>
            </w:r>
          </w:p>
        </w:tc>
      </w:tr>
    </w:tbl>
    <w:p w:rsidP="008E6F52" w:rsidR="00EE4E5A" w:rsidRDefault="00EE4E5A">
      <w:pPr>
        <w:suppressAutoHyphens w:val="false"/>
        <w:ind w:firstLine="709"/>
        <w:jc w:val="both"/>
        <w:rPr>
          <w:sz w:val="30"/>
          <w:szCs w:val="30"/>
        </w:rPr>
      </w:pPr>
    </w:p>
    <w:p w:rsidP="008E6F52" w:rsidR="008E6F52" w:rsidRDefault="008E6F5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Банковские реквизиты для оплаты:</w:t>
      </w:r>
    </w:p>
    <w:p w:rsidP="00EE4E5A" w:rsidR="008E6F52" w:rsidRDefault="008E6F52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EE4E5A" w:rsidR="008E6F52" w:rsidRDefault="008E6F52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EE4E5A" w:rsidR="008E6F52" w:rsidRDefault="008E6F52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EE4E5A" w:rsidR="008E6F52" w:rsidRDefault="008E6F52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EE4E5A" w:rsidR="008E6F52" w:rsidRDefault="008E6F52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БИК 010407105, к/с № 40102810245370000011;</w:t>
      </w:r>
    </w:p>
    <w:p w:rsidP="00EE4E5A" w:rsidR="008E6F52" w:rsidRDefault="008E6F52" w:rsidRPr="00F8682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8E6F52" w:rsidR="008E6F52" w:rsidRDefault="008E6F52" w:rsidRPr="00723884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rStyle w:val="a4"/>
          <w:b w:val="false"/>
          <w:sz w:val="30"/>
          <w:szCs w:val="30"/>
        </w:rPr>
        <w:t>3</w:t>
      </w:r>
      <w:r w:rsidRPr="008F6791">
        <w:rPr>
          <w:rStyle w:val="a4"/>
          <w:b w:val="false"/>
          <w:sz w:val="30"/>
          <w:szCs w:val="30"/>
        </w:rPr>
        <w:t xml:space="preserve">. </w:t>
      </w:r>
      <w:r w:rsidRPr="00723884">
        <w:rPr>
          <w:bCs/>
          <w:sz w:val="30"/>
          <w:szCs w:val="30"/>
        </w:rPr>
        <w:t>Расчет платы за публичный сервитут в отношении части з</w:t>
      </w:r>
      <w:r w:rsidRPr="00723884">
        <w:rPr>
          <w:bCs/>
          <w:sz w:val="30"/>
          <w:szCs w:val="30"/>
        </w:rPr>
        <w:t>е</w:t>
      </w:r>
      <w:r w:rsidRPr="00723884">
        <w:rPr>
          <w:bCs/>
          <w:sz w:val="30"/>
          <w:szCs w:val="30"/>
        </w:rPr>
        <w:t>мельного участка, находящегося в муниципальной собственности, и</w:t>
      </w:r>
      <w:r w:rsidRPr="00723884">
        <w:rPr>
          <w:bCs/>
          <w:sz w:val="30"/>
          <w:szCs w:val="30"/>
        </w:rPr>
        <w:t>с</w:t>
      </w:r>
      <w:r w:rsidRPr="00723884">
        <w:rPr>
          <w:bCs/>
          <w:sz w:val="30"/>
          <w:szCs w:val="30"/>
        </w:rPr>
        <w:t>числяется по формуле:</w:t>
      </w:r>
    </w:p>
    <w:p w:rsidP="008E6F52" w:rsidR="008E6F52" w:rsidRDefault="008E6F52" w:rsidRPr="00EE4E5A">
      <w:pPr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8E6F52" w:rsidR="008E6F52" w:rsidRDefault="00F82CEB" w:rsidRPr="00D75A9B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8E6F52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8E6F52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8E6F52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8E6F52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8E6F52" w:rsidRPr="00D75A9B">
        <w:rPr>
          <w:rStyle w:val="a4"/>
          <w:b w:val="false"/>
          <w:bCs w:val="false"/>
          <w:sz w:val="30"/>
          <w:szCs w:val="30"/>
        </w:rPr>
        <w:t>,</w:t>
      </w:r>
    </w:p>
    <w:p w:rsidP="008E6F52" w:rsidR="008E6F52" w:rsidRDefault="008E6F52" w:rsidRPr="00EE4E5A">
      <w:pPr>
        <w:ind w:firstLine="709"/>
        <w:jc w:val="both"/>
        <w:rPr>
          <w:rStyle w:val="a4"/>
          <w:b w:val="false"/>
          <w:szCs w:val="30"/>
        </w:rPr>
      </w:pPr>
    </w:p>
    <w:p w:rsidP="008E6F52" w:rsidR="008E6F52" w:rsidRDefault="008E6F52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8E6F52" w:rsidR="008E6F52" w:rsidRDefault="008E6F52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8E6F52" w:rsidR="008E6F52" w:rsidRDefault="008E6F52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8E6F52" w:rsidR="008E6F52" w:rsidRDefault="008E6F52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8E6F52" w:rsidR="008E6F52" w:rsidRDefault="008E6F52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8E6F52" w:rsidR="008E6F52" w:rsidRDefault="008E6F52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8E6F52" w:rsidR="008E6F52" w:rsidRDefault="008E6F52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>
        <w:rPr>
          <w:bCs/>
          <w:sz w:val="30"/>
          <w:szCs w:val="30"/>
        </w:rPr>
        <w:t xml:space="preserve"> 3</w:t>
      </w:r>
      <w:r w:rsidRPr="00D75A9B">
        <w:rPr>
          <w:bCs/>
          <w:sz w:val="30"/>
          <w:szCs w:val="30"/>
        </w:rPr>
        <w:t>.</w:t>
      </w: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 3.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>Размер платы за публичный сервитут в отношении ч</w:t>
      </w:r>
      <w:r w:rsidRPr="00723884">
        <w:rPr>
          <w:sz w:val="30"/>
          <w:szCs w:val="30"/>
        </w:rPr>
        <w:t>а</w:t>
      </w:r>
      <w:r w:rsidRPr="00723884">
        <w:rPr>
          <w:sz w:val="30"/>
          <w:szCs w:val="30"/>
        </w:rPr>
        <w:t>сти земельного участка, находящегося в муниципальной собственности</w:t>
      </w:r>
      <w:r>
        <w:rPr>
          <w:sz w:val="30"/>
          <w:szCs w:val="30"/>
        </w:rPr>
        <w:t>.</w:t>
      </w:r>
    </w:p>
    <w:p w:rsidP="008E6F52" w:rsidR="008E6F52" w:rsidRDefault="008E6F52">
      <w:pPr>
        <w:ind w:firstLine="709"/>
        <w:jc w:val="both"/>
        <w:rPr>
          <w:sz w:val="30"/>
          <w:szCs w:val="30"/>
        </w:rPr>
      </w:pPr>
    </w:p>
    <w:tbl>
      <w:tblPr>
        <w:tblW w:type="pct" w:w="4943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409"/>
        <w:gridCol w:w="1418"/>
        <w:gridCol w:w="1135"/>
        <w:gridCol w:w="1133"/>
        <w:gridCol w:w="993"/>
        <w:gridCol w:w="991"/>
        <w:gridCol w:w="1285"/>
      </w:tblGrid>
      <w:tr w:rsidR="00EE4E5A" w:rsidRPr="00D75A9B" w:rsidTr="00D81956">
        <w:trPr>
          <w:trHeight w:val="1902"/>
        </w:trPr>
        <w:tc>
          <w:tcPr>
            <w:tcW w:type="pct" w:w="1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7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</w:t>
            </w:r>
            <w:r w:rsidRPr="00D75A9B">
              <w:t>о</w:t>
            </w:r>
            <w:r w:rsidRPr="00D75A9B">
              <w:t>вая сто</w:t>
            </w:r>
            <w:r w:rsidRPr="00D75A9B">
              <w:t>и</w:t>
            </w:r>
            <w:r w:rsidRPr="00D75A9B">
              <w:t>мость з</w:t>
            </w:r>
            <w:r w:rsidRPr="00D75A9B">
              <w:t>е</w:t>
            </w:r>
            <w:r w:rsidRPr="00D75A9B">
              <w:t>мельн</w:t>
            </w:r>
            <w:r w:rsidRPr="00D75A9B">
              <w:t>о</w:t>
            </w:r>
            <w:r w:rsidRPr="00D75A9B">
              <w:t>го учас</w:t>
            </w:r>
            <w:r w:rsidRPr="00D75A9B">
              <w:t>т</w:t>
            </w:r>
            <w:r w:rsidRPr="00D75A9B">
              <w:t xml:space="preserve">ка, </w:t>
            </w:r>
          </w:p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type="pct" w:w="6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>ного учас</w:t>
            </w:r>
            <w:r w:rsidRPr="00D75A9B">
              <w:t>т</w:t>
            </w:r>
            <w:r w:rsidRPr="00D75A9B">
              <w:t xml:space="preserve">ка, </w:t>
            </w:r>
          </w:p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>циент платы за публи</w:t>
            </w:r>
            <w:r w:rsidRPr="00D75A9B">
              <w:t>ч</w:t>
            </w:r>
            <w:r w:rsidRPr="00D75A9B">
              <w:t>ный се</w:t>
            </w:r>
            <w:r w:rsidRPr="00D75A9B">
              <w:t>р</w:t>
            </w:r>
            <w:r w:rsidRPr="00D75A9B">
              <w:t>витут,</w:t>
            </w:r>
          </w:p>
          <w:p w:rsidP="00EE4E5A" w:rsidR="00EE4E5A" w:rsidRDefault="00EE4E5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2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Размер платы за публи</w:t>
            </w:r>
            <w:r w:rsidRPr="002C64D7">
              <w:t>ч</w:t>
            </w:r>
            <w:r w:rsidRPr="002C64D7">
              <w:t>ный се</w:t>
            </w:r>
            <w:r w:rsidRPr="002C64D7">
              <w:t>р</w:t>
            </w:r>
            <w:r w:rsidRPr="002C64D7">
              <w:t xml:space="preserve">витут </w:t>
            </w:r>
          </w:p>
          <w:p w:rsidP="00EE4E5A" w:rsidR="00EE4E5A" w:rsidRDefault="00EE4E5A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в год, </w:t>
            </w:r>
          </w:p>
          <w:p w:rsidP="00EE4E5A" w:rsidR="00EE4E5A" w:rsidRDefault="00EE4E5A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6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E4E5A" w:rsidR="00EE4E5A" w:rsidRDefault="00EE4E5A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EE4E5A" w:rsidR="00EE4E5A" w:rsidRDefault="00EE4E5A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EE4E5A" w:rsidR="00EE4E5A" w:rsidRDefault="00EE4E5A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P="00EE4E5A" w:rsidR="00EE4E5A" w:rsidRDefault="00EE4E5A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EE4E5A" w:rsidRPr="00FA2984" w:rsidTr="00D81956">
        <w:tc>
          <w:tcPr>
            <w:tcW w:type="pct" w:w="1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EE4E5A" w:rsidR="00EE4E5A" w:rsidRDefault="00EE4E5A">
            <w:r w:rsidRPr="008E6F52">
              <w:t>24:50:0000000:1340</w:t>
            </w:r>
          </w:p>
          <w:p w:rsidP="00EE4E5A" w:rsidR="00EE4E5A" w:rsidRDefault="00EE4E5A">
            <w:r w:rsidRPr="008E6F52">
              <w:t>24:50:0100412:226</w:t>
            </w:r>
          </w:p>
          <w:p w:rsidP="00D81956" w:rsidR="00EE4E5A" w:rsidRDefault="00EE4E5A">
            <w:pPr>
              <w:ind w:left="-57"/>
            </w:pPr>
            <w:r w:rsidRPr="008E6F52">
              <w:t>24:50:0000000:145836</w:t>
            </w:r>
          </w:p>
        </w:tc>
        <w:tc>
          <w:tcPr>
            <w:tcW w:type="pct" w:w="7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81956" w:rsidR="00EE4E5A" w:rsidRDefault="00EE4E5A">
            <w:pPr>
              <w:ind w:left="-57"/>
              <w:jc w:val="right"/>
            </w:pPr>
            <w:r>
              <w:t>8 408 453,4</w:t>
            </w:r>
          </w:p>
          <w:p w:rsidP="00EE4E5A" w:rsidR="00EE4E5A" w:rsidRDefault="00EE4E5A">
            <w:pPr>
              <w:jc w:val="right"/>
            </w:pPr>
            <w:r>
              <w:t>2 650,24</w:t>
            </w:r>
          </w:p>
          <w:p w:rsidP="00EE4E5A" w:rsidR="00EE4E5A" w:rsidRDefault="00EE4E5A">
            <w:pPr>
              <w:jc w:val="right"/>
            </w:pPr>
            <w:r>
              <w:t>3 644 881</w:t>
            </w:r>
          </w:p>
        </w:tc>
        <w:tc>
          <w:tcPr>
            <w:tcW w:type="pct" w:w="6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7B1A" w:rsidR="00EE4E5A" w:rsidRDefault="00EE4E5A">
            <w:pPr>
              <w:jc w:val="center"/>
            </w:pPr>
            <w:r>
              <w:t>9 666</w:t>
            </w:r>
          </w:p>
          <w:p w:rsidP="00AB7B1A" w:rsidR="00EE4E5A" w:rsidRDefault="00EE4E5A">
            <w:pPr>
              <w:jc w:val="center"/>
            </w:pPr>
            <w:r>
              <w:t>101</w:t>
            </w:r>
          </w:p>
          <w:p w:rsidP="00AB7B1A" w:rsidR="00EE4E5A" w:rsidRDefault="00EE4E5A">
            <w:pPr>
              <w:jc w:val="center"/>
            </w:pPr>
            <w:r>
              <w:t>4 190</w:t>
            </w:r>
          </w:p>
        </w:tc>
        <w:tc>
          <w:tcPr>
            <w:tcW w:type="pct" w:w="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7B1A" w:rsidR="00EE4E5A" w:rsidRDefault="00EE4E5A">
            <w:pPr>
              <w:jc w:val="center"/>
            </w:pPr>
            <w:r>
              <w:t>204</w:t>
            </w:r>
          </w:p>
          <w:p w:rsidP="00AB7B1A" w:rsidR="00EE4E5A" w:rsidRDefault="00EE4E5A">
            <w:pPr>
              <w:jc w:val="center"/>
            </w:pPr>
            <w:r>
              <w:t>97</w:t>
            </w:r>
          </w:p>
          <w:p w:rsidP="00AB7B1A" w:rsidR="00EE4E5A" w:rsidRDefault="00EE4E5A">
            <w:pPr>
              <w:jc w:val="center"/>
            </w:pPr>
            <w:r>
              <w:t>254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AB7B1A" w:rsidR="00EE4E5A" w:rsidRDefault="00EE4E5A" w:rsidRPr="00C9036A">
            <w:pPr>
              <w:jc w:val="center"/>
            </w:pPr>
            <w:r>
              <w:t>0,01</w:t>
            </w:r>
          </w:p>
        </w:tc>
        <w:tc>
          <w:tcPr>
            <w:tcW w:type="pct" w:w="52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EE4E5A" w:rsidR="00EE4E5A" w:rsidRDefault="00EE4E5A">
            <w:pPr>
              <w:jc w:val="right"/>
            </w:pPr>
            <w:r>
              <w:t>17,75</w:t>
            </w:r>
          </w:p>
          <w:p w:rsidP="00EE4E5A" w:rsidR="00EE4E5A" w:rsidRDefault="00EE4E5A">
            <w:pPr>
              <w:jc w:val="right"/>
            </w:pPr>
            <w:r>
              <w:t>0,25</w:t>
            </w:r>
          </w:p>
          <w:p w:rsidP="00EE4E5A" w:rsidR="00EE4E5A" w:rsidRDefault="00EE4E5A">
            <w:pPr>
              <w:jc w:val="right"/>
            </w:pPr>
            <w:r>
              <w:t>22,1</w:t>
            </w:r>
          </w:p>
        </w:tc>
        <w:tc>
          <w:tcPr>
            <w:tcW w:type="pct" w:w="6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E4E5A" w:rsidR="00EE4E5A" w:rsidRDefault="00EE4E5A">
            <w:pPr>
              <w:jc w:val="right"/>
            </w:pPr>
            <w:r w:rsidRPr="008E6F52">
              <w:t>869,75</w:t>
            </w:r>
          </w:p>
          <w:p w:rsidP="00EE4E5A" w:rsidR="00EE4E5A" w:rsidRDefault="00EE4E5A">
            <w:pPr>
              <w:jc w:val="right"/>
            </w:pPr>
            <w:r>
              <w:t>12,25</w:t>
            </w:r>
          </w:p>
          <w:p w:rsidP="00EE4E5A" w:rsidR="00EE4E5A" w:rsidRDefault="00EE4E5A">
            <w:pPr>
              <w:jc w:val="right"/>
            </w:pPr>
            <w:r w:rsidRPr="008E6F52">
              <w:t>1 082,9</w:t>
            </w:r>
          </w:p>
        </w:tc>
      </w:tr>
    </w:tbl>
    <w:p w:rsidP="008E6F52" w:rsidR="008E6F52" w:rsidRDefault="008E6F52">
      <w:pPr>
        <w:suppressAutoHyphens w:val="false"/>
        <w:ind w:firstLine="709"/>
        <w:jc w:val="both"/>
        <w:rPr>
          <w:sz w:val="30"/>
          <w:szCs w:val="30"/>
        </w:rPr>
      </w:pP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</w:t>
      </w:r>
      <w:bookmarkStart w:id="0" w:name="_GoBack"/>
      <w:bookmarkEnd w:id="0"/>
      <w:r>
        <w:rPr>
          <w:sz w:val="30"/>
          <w:szCs w:val="30"/>
        </w:rPr>
        <w:t>зиты для оплаты</w:t>
      </w:r>
      <w:r w:rsidRPr="00FB7131">
        <w:rPr>
          <w:sz w:val="30"/>
          <w:szCs w:val="30"/>
        </w:rPr>
        <w:t>:</w:t>
      </w: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УФК по Красноярскому краю (департамент муниципального им</w:t>
      </w:r>
      <w:r>
        <w:rPr>
          <w:sz w:val="30"/>
          <w:szCs w:val="30"/>
        </w:rPr>
        <w:t>у</w:t>
      </w:r>
      <w:r>
        <w:rPr>
          <w:sz w:val="30"/>
          <w:szCs w:val="30"/>
        </w:rPr>
        <w:t>щества и земельных отношений администрации города Красноярска);</w:t>
      </w: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расчетный счет № 03100643000000011900; </w:t>
      </w: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C02A56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P="00EE4E5A" w:rsidR="008E6F52" w:rsidRDefault="008E6F52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P="00EE4E5A" w:rsidR="008E6F52" w:rsidRDefault="008E6F52" w:rsidRPr="006F145B">
      <w:pPr>
        <w:widowControl w:val="false"/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4</w:t>
      </w:r>
      <w:r w:rsidRPr="004A6C59">
        <w:rPr>
          <w:sz w:val="30"/>
          <w:szCs w:val="30"/>
        </w:rPr>
        <w:t xml:space="preserve">. </w:t>
      </w:r>
      <w:r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9846C4" w:rsidR="001C1600" w:rsidRDefault="001C1600">
      <w:pPr>
        <w:pBdr>
          <w:bottom w:color="auto" w:space="1" w:sz="4" w:val="single"/>
        </w:pBdr>
        <w:jc w:val="both"/>
        <w:rPr>
          <w:sz w:val="30"/>
          <w:szCs w:val="30"/>
        </w:rPr>
      </w:pPr>
    </w:p>
    <w:sectPr w:rsidR="001C1600" w:rsidSect="00EE4E5A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8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82CEB" w:rsidRDefault="00F82CEB">
      <w:r>
        <w:separator/>
      </w:r>
    </w:p>
  </w:endnote>
  <w:endnote w:type="continuationSeparator" w:id="0">
    <w:p w:rsidR="00F82CEB" w:rsidRDefault="00F8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82CEB" w:rsidRDefault="00F82CEB">
      <w:r>
        <w:rPr>
          <w:color w:val="000000"/>
        </w:rPr>
        <w:separator/>
      </w:r>
    </w:p>
  </w:footnote>
  <w:footnote w:type="continuationSeparator" w:id="0">
    <w:p w:rsidR="00F82CEB" w:rsidRDefault="00F82CE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81956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57A"/>
    <w:multiLevelType w:val="hybridMultilevel"/>
    <w:tmpl w:val="6D6A0392"/>
    <w:lvl w:ilvl="0" w:tplc="B25E3EC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96B62DB"/>
    <w:multiLevelType w:val="hybridMultilevel"/>
    <w:tmpl w:val="6728D1DC"/>
    <w:lvl w:ilvl="0" w:tplc="E4DA22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2581D"/>
    <w:rsid w:val="000504CD"/>
    <w:rsid w:val="00056777"/>
    <w:rsid w:val="00087F10"/>
    <w:rsid w:val="000A2556"/>
    <w:rsid w:val="000D7A1C"/>
    <w:rsid w:val="000F2F26"/>
    <w:rsid w:val="00114E39"/>
    <w:rsid w:val="00124936"/>
    <w:rsid w:val="00131518"/>
    <w:rsid w:val="00141D39"/>
    <w:rsid w:val="001652B6"/>
    <w:rsid w:val="00166F62"/>
    <w:rsid w:val="00167691"/>
    <w:rsid w:val="0017309F"/>
    <w:rsid w:val="00183265"/>
    <w:rsid w:val="001A7636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F37"/>
    <w:rsid w:val="00285B32"/>
    <w:rsid w:val="00293D16"/>
    <w:rsid w:val="00295B70"/>
    <w:rsid w:val="0029706B"/>
    <w:rsid w:val="002A3A7B"/>
    <w:rsid w:val="002A3A94"/>
    <w:rsid w:val="002C5303"/>
    <w:rsid w:val="002D567E"/>
    <w:rsid w:val="002D7F66"/>
    <w:rsid w:val="002F5932"/>
    <w:rsid w:val="002F6C91"/>
    <w:rsid w:val="00304BA2"/>
    <w:rsid w:val="00305B92"/>
    <w:rsid w:val="003263D3"/>
    <w:rsid w:val="003371E0"/>
    <w:rsid w:val="0034563D"/>
    <w:rsid w:val="00381AF7"/>
    <w:rsid w:val="00397D24"/>
    <w:rsid w:val="003A1BE4"/>
    <w:rsid w:val="003A41F2"/>
    <w:rsid w:val="003A6109"/>
    <w:rsid w:val="003B3549"/>
    <w:rsid w:val="003C077F"/>
    <w:rsid w:val="003C2C1F"/>
    <w:rsid w:val="003F2D2C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37F"/>
    <w:rsid w:val="004C68F5"/>
    <w:rsid w:val="004D602F"/>
    <w:rsid w:val="004E19C0"/>
    <w:rsid w:val="005027B2"/>
    <w:rsid w:val="005136F7"/>
    <w:rsid w:val="00515346"/>
    <w:rsid w:val="00523966"/>
    <w:rsid w:val="00547B46"/>
    <w:rsid w:val="00556005"/>
    <w:rsid w:val="00566892"/>
    <w:rsid w:val="00574F45"/>
    <w:rsid w:val="00580A7E"/>
    <w:rsid w:val="005D4F73"/>
    <w:rsid w:val="005E001E"/>
    <w:rsid w:val="005E091B"/>
    <w:rsid w:val="005E0AB2"/>
    <w:rsid w:val="005E20DA"/>
    <w:rsid w:val="005E7614"/>
    <w:rsid w:val="005F186E"/>
    <w:rsid w:val="005F42FC"/>
    <w:rsid w:val="005F56FD"/>
    <w:rsid w:val="00601F63"/>
    <w:rsid w:val="00605B7C"/>
    <w:rsid w:val="00630B13"/>
    <w:rsid w:val="00633E4C"/>
    <w:rsid w:val="006573A5"/>
    <w:rsid w:val="00666C10"/>
    <w:rsid w:val="0067402F"/>
    <w:rsid w:val="00675273"/>
    <w:rsid w:val="0068418B"/>
    <w:rsid w:val="00684865"/>
    <w:rsid w:val="006879E9"/>
    <w:rsid w:val="00693B3A"/>
    <w:rsid w:val="006E3F3C"/>
    <w:rsid w:val="006F145B"/>
    <w:rsid w:val="00710BA9"/>
    <w:rsid w:val="0072463B"/>
    <w:rsid w:val="00730356"/>
    <w:rsid w:val="007457F2"/>
    <w:rsid w:val="0076098E"/>
    <w:rsid w:val="00761F89"/>
    <w:rsid w:val="007A09F1"/>
    <w:rsid w:val="007A2A16"/>
    <w:rsid w:val="007A6A8C"/>
    <w:rsid w:val="007A77D2"/>
    <w:rsid w:val="007A7927"/>
    <w:rsid w:val="007D0E7A"/>
    <w:rsid w:val="007D2D04"/>
    <w:rsid w:val="007D7217"/>
    <w:rsid w:val="007E0A61"/>
    <w:rsid w:val="007E3366"/>
    <w:rsid w:val="007E4757"/>
    <w:rsid w:val="007E745A"/>
    <w:rsid w:val="00823626"/>
    <w:rsid w:val="00831C72"/>
    <w:rsid w:val="008471B9"/>
    <w:rsid w:val="008944CF"/>
    <w:rsid w:val="0089584C"/>
    <w:rsid w:val="008D596A"/>
    <w:rsid w:val="008D5FED"/>
    <w:rsid w:val="008D7423"/>
    <w:rsid w:val="008E4078"/>
    <w:rsid w:val="008E6F52"/>
    <w:rsid w:val="008F25BE"/>
    <w:rsid w:val="008F352F"/>
    <w:rsid w:val="008F6791"/>
    <w:rsid w:val="00900A45"/>
    <w:rsid w:val="009149F8"/>
    <w:rsid w:val="009251BF"/>
    <w:rsid w:val="00930CEE"/>
    <w:rsid w:val="00934EE6"/>
    <w:rsid w:val="00937C31"/>
    <w:rsid w:val="00941EC4"/>
    <w:rsid w:val="00945F02"/>
    <w:rsid w:val="009540C8"/>
    <w:rsid w:val="009636E2"/>
    <w:rsid w:val="00965247"/>
    <w:rsid w:val="00973A9B"/>
    <w:rsid w:val="00982ACE"/>
    <w:rsid w:val="009846C4"/>
    <w:rsid w:val="00986FFC"/>
    <w:rsid w:val="009932A9"/>
    <w:rsid w:val="009A202D"/>
    <w:rsid w:val="009A2621"/>
    <w:rsid w:val="009E7211"/>
    <w:rsid w:val="00A11357"/>
    <w:rsid w:val="00A2773B"/>
    <w:rsid w:val="00A27F17"/>
    <w:rsid w:val="00A4125D"/>
    <w:rsid w:val="00AC1DF5"/>
    <w:rsid w:val="00AD3C09"/>
    <w:rsid w:val="00AD74D9"/>
    <w:rsid w:val="00AF6465"/>
    <w:rsid w:val="00B16147"/>
    <w:rsid w:val="00B24985"/>
    <w:rsid w:val="00B27D96"/>
    <w:rsid w:val="00B305AB"/>
    <w:rsid w:val="00B32308"/>
    <w:rsid w:val="00B37FF8"/>
    <w:rsid w:val="00B719C8"/>
    <w:rsid w:val="00B82538"/>
    <w:rsid w:val="00B879F6"/>
    <w:rsid w:val="00B91F7B"/>
    <w:rsid w:val="00B94249"/>
    <w:rsid w:val="00BB5092"/>
    <w:rsid w:val="00BC4DCE"/>
    <w:rsid w:val="00BD0D5F"/>
    <w:rsid w:val="00BD3583"/>
    <w:rsid w:val="00BE31F4"/>
    <w:rsid w:val="00BF0CD1"/>
    <w:rsid w:val="00C06410"/>
    <w:rsid w:val="00C117B4"/>
    <w:rsid w:val="00C228C5"/>
    <w:rsid w:val="00C241AF"/>
    <w:rsid w:val="00C31592"/>
    <w:rsid w:val="00C56AEA"/>
    <w:rsid w:val="00C6241B"/>
    <w:rsid w:val="00C6295D"/>
    <w:rsid w:val="00C706CD"/>
    <w:rsid w:val="00C70B10"/>
    <w:rsid w:val="00C73A21"/>
    <w:rsid w:val="00C831B0"/>
    <w:rsid w:val="00C83B6B"/>
    <w:rsid w:val="00C95B43"/>
    <w:rsid w:val="00C96F13"/>
    <w:rsid w:val="00CE1C5E"/>
    <w:rsid w:val="00CE59DD"/>
    <w:rsid w:val="00D2195C"/>
    <w:rsid w:val="00D35A98"/>
    <w:rsid w:val="00D53DFF"/>
    <w:rsid w:val="00D549D4"/>
    <w:rsid w:val="00D57182"/>
    <w:rsid w:val="00D71DD8"/>
    <w:rsid w:val="00D81956"/>
    <w:rsid w:val="00D85773"/>
    <w:rsid w:val="00D873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4E5A"/>
    <w:rsid w:val="00EE6F07"/>
    <w:rsid w:val="00F07B4E"/>
    <w:rsid w:val="00F410EE"/>
    <w:rsid w:val="00F60A40"/>
    <w:rsid w:val="00F64E68"/>
    <w:rsid w:val="00F66FE4"/>
    <w:rsid w:val="00F82CEB"/>
    <w:rsid w:val="00F838AA"/>
    <w:rsid w:val="00FA3691"/>
    <w:rsid w:val="00FA42B6"/>
    <w:rsid w:val="00FB517B"/>
    <w:rsid w:val="00FB7131"/>
    <w:rsid w:val="00FC693B"/>
    <w:rsid w:val="00FD38C8"/>
    <w:rsid w:val="00FD6BEB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 2</docTitle>
  </documentManagement>
</p:properties>
</file>

<file path=customXml/itemProps1.xml><?xml version="1.0" encoding="utf-8"?>
<ds:datastoreItem xmlns:ds="http://schemas.openxmlformats.org/officeDocument/2006/customXml" ds:itemID="{0A8A1ADC-DEC4-4F2B-988A-8A3ACEF04951}"/>
</file>

<file path=customXml/itemProps2.xml><?xml version="1.0" encoding="utf-8"?>
<ds:datastoreItem xmlns:ds="http://schemas.openxmlformats.org/officeDocument/2006/customXml" ds:itemID="{17979AA7-3762-41B7-B323-3BEEC6BF64EA}"/>
</file>

<file path=customXml/itemProps3.xml><?xml version="1.0" encoding="utf-8"?>
<ds:datastoreItem xmlns:ds="http://schemas.openxmlformats.org/officeDocument/2006/customXml" ds:itemID="{CE553024-53CF-49D4-A9F9-7D213B3BCB2D}"/>
</file>

<file path=customXml/itemProps4.xml><?xml version="1.0" encoding="utf-8"?>
<ds:datastoreItem xmlns:ds="http://schemas.openxmlformats.org/officeDocument/2006/customXml" ds:itemID="{37CF4411-D32A-41BF-922B-B1977EB41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creator>Jon</dc:creator>
  <cp:lastModifiedBy>Сайгашкина Евгения Николаевна</cp:lastModifiedBy>
  <cp:revision>11</cp:revision>
  <cp:lastPrinted>2025-07-25T03:37:00Z</cp:lastPrinted>
  <dcterms:created xsi:type="dcterms:W3CDTF">2025-04-23T01:46:00Z</dcterms:created>
  <dcterms:modified xsi:type="dcterms:W3CDTF">2025-07-25T03:38:00Z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