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bookmarkStart w:id="0" w:name="_GoBack"/>
      <w:bookmarkEnd w:id="0"/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230C1" w:rsidR="00131518" w:rsidRDefault="00131518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7E1833" w:rsidRDefault="007E1833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230C1" w:rsidRDefault="001230C1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1230C1" w:rsidR="00131518" w:rsidRDefault="00131518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</w:t>
      </w:r>
      <w:r w:rsidR="00087F10" w:rsidRPr="008F6791">
        <w:rPr>
          <w:rStyle w:val="a4"/>
          <w:b w:val="false"/>
          <w:sz w:val="30"/>
          <w:szCs w:val="30"/>
        </w:rPr>
        <w:t>я платы за публичный сервитут</w:t>
      </w:r>
    </w:p>
    <w:p w:rsidP="001230C1" w:rsidR="0067402F" w:rsidRDefault="0067402F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1230C1" w:rsidR="001230C1" w:rsidRDefault="001230C1" w:rsidRPr="001230C1">
      <w:pPr>
        <w:spacing w:line="192" w:lineRule="auto"/>
        <w:jc w:val="center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1. Расчет платы за публичный сервитут в отношении земель, гос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дарственная собственность на которые не разграничена, исчисляет</w:t>
      </w:r>
      <w:r>
        <w:rPr>
          <w:rStyle w:val="a4"/>
          <w:b w:val="false"/>
          <w:sz w:val="30"/>
          <w:szCs w:val="30"/>
        </w:rPr>
        <w:t xml:space="preserve">ся </w:t>
      </w:r>
      <w:r w:rsidR="001230C1">
        <w:rPr>
          <w:rStyle w:val="a4"/>
          <w:b w:val="false"/>
          <w:sz w:val="30"/>
          <w:szCs w:val="30"/>
        </w:rPr>
        <w:t xml:space="preserve">           </w:t>
      </w:r>
      <w:r w:rsidRPr="008F6791">
        <w:rPr>
          <w:rStyle w:val="a4"/>
          <w:b w:val="false"/>
          <w:sz w:val="30"/>
          <w:szCs w:val="30"/>
        </w:rPr>
        <w:t>по формуле:</w:t>
      </w:r>
    </w:p>
    <w:p w:rsidP="00057953" w:rsidR="00057953" w:rsidRDefault="00057953" w:rsidRPr="00390869">
      <w:pPr>
        <w:widowControl w:val="false"/>
        <w:suppressAutoHyphens w:val="false"/>
        <w:ind w:firstLine="709"/>
        <w:jc w:val="both"/>
        <w:rPr>
          <w:rStyle w:val="a4"/>
          <w:b w:val="false"/>
          <w:szCs w:val="30"/>
        </w:rPr>
      </w:pPr>
    </w:p>
    <w:p w:rsidP="00057953" w:rsidR="00057953" w:rsidRDefault="00057953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057953" w:rsidR="00057953" w:rsidRDefault="00057953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057953" w:rsidR="00057953" w:rsidRDefault="00057953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коэффициент платы за публичный сервитут. 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</w:p>
    <w:p w:rsidP="00057953" w:rsidR="00057953" w:rsidRDefault="00057953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DE30C1" w:rsidR="00DE30C1" w:rsidRDefault="00DE30C1">
      <w:pPr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BD3B34" w:rsidR="00DE30C1" w:rsidRDefault="001A7C87">
      <w:pPr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Таблица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false"/>
          <w:sz w:val="30"/>
          <w:szCs w:val="30"/>
        </w:rPr>
        <w:t>в отношении земель, государственная собственность на которые не разграничена.</w:t>
      </w:r>
    </w:p>
    <w:p w:rsidP="001A7C87" w:rsidR="001230C1" w:rsidRDefault="001230C1">
      <w:pPr>
        <w:ind w:firstLine="709"/>
        <w:jc w:val="center"/>
      </w:pPr>
    </w:p>
    <w:tbl>
      <w:tblPr>
        <w:tblW w:type="pct" w:w="4939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3"/>
        <w:gridCol w:w="1546"/>
        <w:gridCol w:w="1824"/>
        <w:gridCol w:w="1338"/>
        <w:gridCol w:w="1458"/>
        <w:gridCol w:w="1347"/>
      </w:tblGrid>
      <w:tr w:rsidR="00DE30C1" w:rsidRPr="008F6791" w:rsidTr="002D6FC5">
        <w:trPr>
          <w:trHeight w:val="1941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EA2614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EA2614" w:rsidR="00DE30C1" w:rsidRDefault="00DE30C1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7E1E8D" w:rsidR="001230C1" w:rsidRDefault="00DE30C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P="007E1E8D" w:rsidR="00DE30C1" w:rsidRDefault="001230C1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</w:t>
            </w:r>
            <w:r w:rsidRPr="008F6791">
              <w:t>Р</w:t>
            </w:r>
            <w:r w:rsidRPr="008F6791">
              <w:rPr>
                <w:vertAlign w:val="subscript"/>
              </w:rPr>
              <w:t>П</w:t>
            </w:r>
            <w:r w:rsidR="00DE30C1">
              <w:t>)</w:t>
            </w:r>
          </w:p>
        </w:tc>
      </w:tr>
      <w:tr w:rsidR="00DE30C1" w:rsidRPr="008F6791" w:rsidTr="002D6FC5">
        <w:trPr>
          <w:trHeight w:val="357"/>
        </w:trPr>
        <w:tc>
          <w:tcPr>
            <w:tcW w:type="pct" w:w="98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046625" w:rsidR="00D113E5" w:rsidRDefault="002D6FC5" w:rsidRPr="00D53E4E">
            <w:pPr>
              <w:jc w:val="center"/>
            </w:pPr>
            <w:r w:rsidRPr="002D6FC5">
              <w:t>24:50:0100300, 24:50:0100303</w:t>
            </w:r>
          </w:p>
        </w:tc>
        <w:tc>
          <w:tcPr>
            <w:tcW w:type="pct" w:w="82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D3B34" w:rsidR="00DE30C1" w:rsidRDefault="00DE30C1" w:rsidRPr="008F6791">
            <w:pPr>
              <w:jc w:val="right"/>
            </w:pPr>
            <w:r>
              <w:t>998,41</w:t>
            </w:r>
          </w:p>
        </w:tc>
        <w:tc>
          <w:tcPr>
            <w:tcW w:type="pct" w:w="97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BD3B34" w:rsidR="00DE30C1" w:rsidRDefault="002D6FC5" w:rsidRPr="00D53E4E">
            <w:pPr>
              <w:jc w:val="center"/>
            </w:pPr>
            <w:r>
              <w:t>53</w:t>
            </w:r>
          </w:p>
        </w:tc>
        <w:tc>
          <w:tcPr>
            <w:tcW w:type="pct" w:w="7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3B34" w:rsidR="00DE30C1" w:rsidRDefault="00DE30C1" w:rsidRPr="008F6791">
            <w:pPr>
              <w:jc w:val="center"/>
            </w:pPr>
            <w:r w:rsidRPr="008F6791">
              <w:t>0,1</w:t>
            </w:r>
          </w:p>
        </w:tc>
        <w:tc>
          <w:tcPr>
            <w:tcW w:type="pct" w:w="7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B652D" w:rsidR="00DE30C1" w:rsidRDefault="002D6FC5" w:rsidRPr="009423E0">
            <w:pPr>
              <w:jc w:val="right"/>
            </w:pPr>
            <w:r>
              <w:t>52,92</w:t>
            </w:r>
          </w:p>
        </w:tc>
        <w:tc>
          <w:tcPr>
            <w:tcW w:type="pct" w:w="7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3B34" w:rsidR="00DE30C1" w:rsidRDefault="002D6FC5" w:rsidRPr="009423E0">
            <w:pPr>
              <w:ind w:left="-57" w:right="57"/>
              <w:jc w:val="right"/>
            </w:pPr>
            <w:r w:rsidRPr="002D6FC5">
              <w:t>84,67</w:t>
            </w:r>
          </w:p>
        </w:tc>
      </w:tr>
    </w:tbl>
    <w:p w:rsidP="00DE30C1" w:rsidR="001230C1" w:rsidRDefault="001230C1">
      <w:pPr>
        <w:suppressAutoHyphens w:val="false"/>
        <w:ind w:firstLine="709"/>
        <w:jc w:val="both"/>
        <w:rPr>
          <w:sz w:val="30"/>
          <w:szCs w:val="30"/>
        </w:rPr>
      </w:pPr>
    </w:p>
    <w:p w:rsidP="00DE30C1" w:rsidR="00DE30C1" w:rsidRDefault="00DE30C1" w:rsidRPr="00F64E68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 Красноярска)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Pr="00260013">
        <w:rPr>
          <w:sz w:val="30"/>
          <w:szCs w:val="30"/>
        </w:rPr>
        <w:t xml:space="preserve">//УФК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P="00DE30C1" w:rsidR="00DE30C1" w:rsidRDefault="00DE30C1" w:rsidRPr="00260013">
      <w:pPr>
        <w:suppressAutoHyphens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57953">
        <w:rPr>
          <w:sz w:val="30"/>
          <w:szCs w:val="30"/>
        </w:rPr>
        <w:t>111 05410 04 0000</w:t>
      </w:r>
      <w:r w:rsidRPr="00260013">
        <w:rPr>
          <w:sz w:val="30"/>
          <w:szCs w:val="30"/>
        </w:rPr>
        <w:t xml:space="preserve"> 120</w:t>
      </w:r>
      <w:r>
        <w:rPr>
          <w:sz w:val="30"/>
          <w:szCs w:val="30"/>
        </w:rPr>
        <w:t>;</w:t>
      </w:r>
    </w:p>
    <w:p w:rsidP="005027B2" w:rsidR="0067402F" w:rsidRDefault="00DE30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P="00057953" w:rsidR="001C1600" w:rsidRDefault="002D6FC5">
      <w:pPr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>2</w:t>
      </w:r>
      <w:r w:rsidR="00DE30C1">
        <w:rPr>
          <w:sz w:val="30"/>
          <w:szCs w:val="30"/>
        </w:rPr>
        <w:t xml:space="preserve">. </w:t>
      </w:r>
      <w:r w:rsidR="00057953">
        <w:rPr>
          <w:sz w:val="30"/>
          <w:szCs w:val="30"/>
        </w:rPr>
        <w:t>П</w:t>
      </w:r>
      <w:r w:rsidR="00BD3B34">
        <w:rPr>
          <w:sz w:val="30"/>
          <w:szCs w:val="30"/>
        </w:rPr>
        <w:t>л</w:t>
      </w:r>
      <w:r w:rsidR="00DE30C1">
        <w:rPr>
          <w:rStyle w:val="a4"/>
          <w:b w:val="false"/>
          <w:sz w:val="30"/>
          <w:szCs w:val="30"/>
        </w:rPr>
        <w:t>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A95E29" w:rsidR="00A95E29" w:rsidRDefault="00A95E29">
      <w:pPr>
        <w:pBdr>
          <w:bottom w:color="auto" w:space="1" w:sz="4" w:val="single"/>
        </w:pBdr>
        <w:suppressAutoHyphens w:val="false"/>
        <w:ind w:firstLine="709"/>
        <w:jc w:val="both"/>
        <w:rPr>
          <w:sz w:val="30"/>
          <w:szCs w:val="30"/>
        </w:rPr>
      </w:pPr>
    </w:p>
    <w:sectPr w:rsidR="00A95E29" w:rsidSect="00BB56E9">
      <w:headerReference r:id="rId8" w:type="default"/>
      <w:footerReference r:id="rId9" w:type="default"/>
      <w:pgSz w:code="9" w:h="16838" w:w="11906"/>
      <w:pgMar w:bottom="1134" w:footer="720" w:gutter="0" w:header="720" w:left="1985" w:right="567" w:top="1134"/>
      <w:pgNumType w:start="7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12E50" w:rsidRDefault="00E12E50">
      <w:r>
        <w:separator/>
      </w:r>
    </w:p>
  </w:endnote>
  <w:endnote w:type="continuationSeparator" w:id="0">
    <w:p w:rsidR="00E12E50" w:rsidRDefault="00E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B4D65" w:rsidRDefault="00DB4D65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12E50" w:rsidRDefault="00E12E50">
      <w:r>
        <w:rPr>
          <w:color w:val="000000"/>
        </w:rPr>
        <w:separator/>
      </w:r>
    </w:p>
  </w:footnote>
  <w:footnote w:type="continuationSeparator" w:id="0">
    <w:p w:rsidR="00E12E50" w:rsidRDefault="00E12E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F64E68" w:rsidP="000D7A1C" w:rsidRDefault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B56E9">
      <w:rPr>
        <w:noProof/>
      </w:rPr>
      <w:t>8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46625"/>
    <w:rsid w:val="000504CD"/>
    <w:rsid w:val="00057953"/>
    <w:rsid w:val="00087F10"/>
    <w:rsid w:val="000A2556"/>
    <w:rsid w:val="000C5EEB"/>
    <w:rsid w:val="000D7A1C"/>
    <w:rsid w:val="000E07F8"/>
    <w:rsid w:val="000F2F26"/>
    <w:rsid w:val="00114E39"/>
    <w:rsid w:val="001230C1"/>
    <w:rsid w:val="00123D99"/>
    <w:rsid w:val="00124936"/>
    <w:rsid w:val="00131518"/>
    <w:rsid w:val="00141D39"/>
    <w:rsid w:val="00157FE8"/>
    <w:rsid w:val="001652B6"/>
    <w:rsid w:val="00166F62"/>
    <w:rsid w:val="00167691"/>
    <w:rsid w:val="0017309F"/>
    <w:rsid w:val="00181AB0"/>
    <w:rsid w:val="00183265"/>
    <w:rsid w:val="001A7636"/>
    <w:rsid w:val="001A7C87"/>
    <w:rsid w:val="001C1600"/>
    <w:rsid w:val="001E327B"/>
    <w:rsid w:val="001E7A22"/>
    <w:rsid w:val="001F0FFE"/>
    <w:rsid w:val="001F1C83"/>
    <w:rsid w:val="002264C4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6FC5"/>
    <w:rsid w:val="002D7F66"/>
    <w:rsid w:val="002F3FCC"/>
    <w:rsid w:val="002F5932"/>
    <w:rsid w:val="002F6C91"/>
    <w:rsid w:val="00304BA2"/>
    <w:rsid w:val="00305B92"/>
    <w:rsid w:val="003371E0"/>
    <w:rsid w:val="00342566"/>
    <w:rsid w:val="0034563D"/>
    <w:rsid w:val="00357DEB"/>
    <w:rsid w:val="00382BAF"/>
    <w:rsid w:val="00397D24"/>
    <w:rsid w:val="003A1BE4"/>
    <w:rsid w:val="003A41F2"/>
    <w:rsid w:val="003A6109"/>
    <w:rsid w:val="003B3A7A"/>
    <w:rsid w:val="003C077F"/>
    <w:rsid w:val="003C10E1"/>
    <w:rsid w:val="003F2D2C"/>
    <w:rsid w:val="00407559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45BF9"/>
    <w:rsid w:val="006573A5"/>
    <w:rsid w:val="006653B1"/>
    <w:rsid w:val="00666C10"/>
    <w:rsid w:val="0067402F"/>
    <w:rsid w:val="00675273"/>
    <w:rsid w:val="00683D8E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517"/>
    <w:rsid w:val="00761F89"/>
    <w:rsid w:val="00764AF9"/>
    <w:rsid w:val="00792EBB"/>
    <w:rsid w:val="007A09F1"/>
    <w:rsid w:val="007A2A16"/>
    <w:rsid w:val="007A6A8C"/>
    <w:rsid w:val="007A77D2"/>
    <w:rsid w:val="007D0E7A"/>
    <w:rsid w:val="007D2D04"/>
    <w:rsid w:val="007D6E69"/>
    <w:rsid w:val="007D7217"/>
    <w:rsid w:val="007E0A61"/>
    <w:rsid w:val="007E1833"/>
    <w:rsid w:val="007E1E8D"/>
    <w:rsid w:val="007E3366"/>
    <w:rsid w:val="007E4757"/>
    <w:rsid w:val="007E5DC9"/>
    <w:rsid w:val="007E745A"/>
    <w:rsid w:val="00823626"/>
    <w:rsid w:val="00831C72"/>
    <w:rsid w:val="00832FD0"/>
    <w:rsid w:val="008471B9"/>
    <w:rsid w:val="008944CF"/>
    <w:rsid w:val="0089584C"/>
    <w:rsid w:val="008D596A"/>
    <w:rsid w:val="008D5FED"/>
    <w:rsid w:val="008E4078"/>
    <w:rsid w:val="008F352F"/>
    <w:rsid w:val="008F6791"/>
    <w:rsid w:val="008F7AE1"/>
    <w:rsid w:val="00900A45"/>
    <w:rsid w:val="009149F8"/>
    <w:rsid w:val="00920F44"/>
    <w:rsid w:val="009251BF"/>
    <w:rsid w:val="00927C47"/>
    <w:rsid w:val="00930CEE"/>
    <w:rsid w:val="00934EE6"/>
    <w:rsid w:val="00941EC4"/>
    <w:rsid w:val="00945F02"/>
    <w:rsid w:val="009540C8"/>
    <w:rsid w:val="009636E2"/>
    <w:rsid w:val="00965247"/>
    <w:rsid w:val="00973A9B"/>
    <w:rsid w:val="00982ACE"/>
    <w:rsid w:val="009846C4"/>
    <w:rsid w:val="009932A9"/>
    <w:rsid w:val="009A202D"/>
    <w:rsid w:val="009A2621"/>
    <w:rsid w:val="009E7211"/>
    <w:rsid w:val="00A253F8"/>
    <w:rsid w:val="00A2773B"/>
    <w:rsid w:val="00A27F17"/>
    <w:rsid w:val="00A70B05"/>
    <w:rsid w:val="00A80BDF"/>
    <w:rsid w:val="00A95E29"/>
    <w:rsid w:val="00AB6165"/>
    <w:rsid w:val="00AB652D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41A8A"/>
    <w:rsid w:val="00B65FC4"/>
    <w:rsid w:val="00B719C8"/>
    <w:rsid w:val="00B82538"/>
    <w:rsid w:val="00B91F7B"/>
    <w:rsid w:val="00B94249"/>
    <w:rsid w:val="00BB5092"/>
    <w:rsid w:val="00BB56E9"/>
    <w:rsid w:val="00BD3B34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B4038"/>
    <w:rsid w:val="00CE1C5E"/>
    <w:rsid w:val="00CE59DD"/>
    <w:rsid w:val="00D113E5"/>
    <w:rsid w:val="00D25244"/>
    <w:rsid w:val="00D352BE"/>
    <w:rsid w:val="00D35A98"/>
    <w:rsid w:val="00D53DFF"/>
    <w:rsid w:val="00D549D4"/>
    <w:rsid w:val="00D71DD8"/>
    <w:rsid w:val="00D85773"/>
    <w:rsid w:val="00D91284"/>
    <w:rsid w:val="00DA4517"/>
    <w:rsid w:val="00DB1DB9"/>
    <w:rsid w:val="00DB476A"/>
    <w:rsid w:val="00DB4D65"/>
    <w:rsid w:val="00DE2501"/>
    <w:rsid w:val="00DE30C1"/>
    <w:rsid w:val="00E12E50"/>
    <w:rsid w:val="00E132A2"/>
    <w:rsid w:val="00E13CC0"/>
    <w:rsid w:val="00E15CD0"/>
    <w:rsid w:val="00E3144E"/>
    <w:rsid w:val="00E3338B"/>
    <w:rsid w:val="00E46187"/>
    <w:rsid w:val="00E6709F"/>
    <w:rsid w:val="00E77346"/>
    <w:rsid w:val="00E9163B"/>
    <w:rsid w:val="00E95EA6"/>
    <w:rsid w:val="00E96B24"/>
    <w:rsid w:val="00E97688"/>
    <w:rsid w:val="00EA2614"/>
    <w:rsid w:val="00EB74D5"/>
    <w:rsid w:val="00EC15BB"/>
    <w:rsid w:val="00EC3A80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920B9"/>
    <w:rsid w:val="00FA3691"/>
    <w:rsid w:val="00FA42B6"/>
    <w:rsid w:val="00FC693B"/>
    <w:rsid w:val="00FD38C8"/>
    <w:rsid w:val="00FD6BEB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9BA9F6A5-F636-4F84-AE19-6C766B82EC8F}"/>
</file>

<file path=customXml/itemProps2.xml><?xml version="1.0" encoding="utf-8"?>
<ds:datastoreItem xmlns:ds="http://schemas.openxmlformats.org/officeDocument/2006/customXml" ds:itemID="{BC646F7F-56BA-4577-8BAA-F0B24D5DD7DA}"/>
</file>

<file path=customXml/itemProps3.xml><?xml version="1.0" encoding="utf-8"?>
<ds:datastoreItem xmlns:ds="http://schemas.openxmlformats.org/officeDocument/2006/customXml" ds:itemID="{DAD7AC70-9A1C-4F7D-8FC2-A3D84CCA1062}"/>
</file>

<file path=customXml/itemProps4.xml><?xml version="1.0" encoding="utf-8"?>
<ds:datastoreItem xmlns:ds="http://schemas.openxmlformats.org/officeDocument/2006/customXml" ds:itemID="{52540FD2-50DE-4ECB-8B67-9DF3197D2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Сайгашкина Евгения Николаевна</cp:lastModifiedBy>
  <cp:revision>8</cp:revision>
  <cp:lastPrinted>2025-05-13T07:37:00Z</cp:lastPrinted>
  <dcterms:created xsi:type="dcterms:W3CDTF">2025-05-13T04:02:00Z</dcterms:created>
  <dcterms:modified xsi:type="dcterms:W3CDTF">2025-07-14T03:22:00Z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