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EF28C6" w:rsidR="00131518" w:rsidRDefault="00131518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EF28C6" w:rsidR="00EF28C6" w:rsidRDefault="00EF28C6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EF28C6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EF28C6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EF28C6" w:rsidR="0067402F" w:rsidRDefault="0067402F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EF28C6" w:rsidR="00EF28C6" w:rsidRDefault="00EF28C6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DE30C1" w:rsidR="00DE30C1" w:rsidRDefault="00DE30C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исчисляет</w:t>
      </w:r>
      <w:r w:rsidR="00F66FE4">
        <w:rPr>
          <w:rStyle w:val="a4"/>
          <w:b w:val="false"/>
          <w:sz w:val="30"/>
          <w:szCs w:val="30"/>
        </w:rPr>
        <w:t xml:space="preserve">ся </w:t>
      </w:r>
      <w:r w:rsidR="00EF28C6">
        <w:rPr>
          <w:rStyle w:val="a4"/>
          <w:b w:val="false"/>
          <w:sz w:val="30"/>
          <w:szCs w:val="30"/>
        </w:rPr>
        <w:t xml:space="preserve">         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DE30C1" w:rsidR="004F1632" w:rsidRDefault="004F1632" w:rsidRPr="008F679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</w:p>
    <w:p w:rsidP="00DE30C1" w:rsidR="00DE30C1" w:rsidRDefault="00DE30C1" w:rsidRPr="008F6791">
      <w:pPr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К, </w:t>
      </w:r>
    </w:p>
    <w:p w:rsidP="00DE30C1" w:rsidR="004F1632" w:rsidRDefault="004F1632">
      <w:pPr>
        <w:ind w:firstLine="709"/>
        <w:rPr>
          <w:rStyle w:val="a4"/>
          <w:b w:val="false"/>
          <w:bCs w:val="false"/>
          <w:sz w:val="30"/>
          <w:szCs w:val="30"/>
        </w:rPr>
      </w:pPr>
    </w:p>
    <w:p w:rsidP="00DE30C1" w:rsidR="00DE30C1" w:rsidRDefault="00DE30C1" w:rsidRPr="008F6791">
      <w:pPr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DE30C1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DE30C1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 – средний уровень кадастровой стоимости по сегментам объектов недвижимости, рублей;</w:t>
      </w:r>
    </w:p>
    <w:p w:rsidP="00DE30C1" w:rsidR="00DE30C1" w:rsidRDefault="000670C0" w:rsidRPr="008F6791">
      <w:pPr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 xml:space="preserve">К </m:t>
        </m:r>
      </m:oMath>
      <w:r w:rsidR="00DE30C1"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="00DE30C1" w:rsidRPr="008F6791">
        <w:rPr>
          <w:rStyle w:val="a4"/>
          <w:b w:val="false"/>
          <w:sz w:val="30"/>
          <w:szCs w:val="30"/>
        </w:rPr>
        <w:t xml:space="preserve">В отношении </w:t>
      </w:r>
      <w:r w:rsidR="00EF28C6">
        <w:rPr>
          <w:rStyle w:val="a4"/>
          <w:b w:val="false"/>
          <w:sz w:val="30"/>
          <w:szCs w:val="30"/>
        </w:rPr>
        <w:t xml:space="preserve">          </w:t>
      </w:r>
      <w:r w:rsidR="00DE30C1"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="00DE30C1" w:rsidRPr="008F6791">
        <w:rPr>
          <w:rStyle w:val="a4"/>
          <w:b w:val="false"/>
          <w:sz w:val="30"/>
          <w:szCs w:val="30"/>
        </w:rPr>
        <w:t>ь</w:t>
      </w:r>
      <w:r w:rsidR="00DE30C1"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 w:rsidR="00DE30C1">
        <w:rPr>
          <w:rStyle w:val="a4"/>
          <w:b w:val="false"/>
          <w:sz w:val="30"/>
          <w:szCs w:val="30"/>
        </w:rPr>
        <w:t>коэфф</w:t>
      </w:r>
      <w:r w:rsidR="00DE30C1">
        <w:rPr>
          <w:rStyle w:val="a4"/>
          <w:b w:val="false"/>
          <w:sz w:val="30"/>
          <w:szCs w:val="30"/>
        </w:rPr>
        <w:t>и</w:t>
      </w:r>
      <w:r w:rsidR="00DE30C1">
        <w:rPr>
          <w:rStyle w:val="a4"/>
          <w:b w:val="false"/>
          <w:sz w:val="30"/>
          <w:szCs w:val="30"/>
        </w:rPr>
        <w:t xml:space="preserve">циент платы равен </w:t>
      </w:r>
      <w:r w:rsidR="00DE30C1" w:rsidRPr="008F6791">
        <w:rPr>
          <w:rStyle w:val="a4"/>
          <w:b w:val="false"/>
          <w:sz w:val="30"/>
          <w:szCs w:val="30"/>
        </w:rPr>
        <w:t xml:space="preserve">0,01% кадастровой стоимости земельного участка </w:t>
      </w:r>
      <w:r w:rsidR="00EF28C6">
        <w:rPr>
          <w:rStyle w:val="a4"/>
          <w:b w:val="false"/>
          <w:sz w:val="30"/>
          <w:szCs w:val="30"/>
        </w:rPr>
        <w:t xml:space="preserve">            </w:t>
      </w:r>
      <w:r w:rsidR="00DE30C1" w:rsidRPr="008F6791">
        <w:rPr>
          <w:rStyle w:val="a4"/>
          <w:b w:val="false"/>
          <w:sz w:val="30"/>
          <w:szCs w:val="30"/>
        </w:rPr>
        <w:t>за каждый год его использования</w:t>
      </w:r>
      <w:r w:rsidR="00DE30C1">
        <w:rPr>
          <w:rStyle w:val="a4"/>
          <w:b w:val="false"/>
          <w:sz w:val="30"/>
          <w:szCs w:val="30"/>
        </w:rPr>
        <w:t>,</w:t>
      </w:r>
      <w:r w:rsidR="00DE30C1" w:rsidRPr="008F6791">
        <w:rPr>
          <w:rStyle w:val="a4"/>
          <w:b w:val="false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при этом плата за публичный серв</w:t>
      </w:r>
      <w:r w:rsidR="00DE30C1" w:rsidRPr="008F6791">
        <w:rPr>
          <w:sz w:val="30"/>
          <w:szCs w:val="30"/>
        </w:rPr>
        <w:t>и</w:t>
      </w:r>
      <w:r w:rsidR="00DE30C1" w:rsidRPr="008F6791">
        <w:rPr>
          <w:sz w:val="30"/>
          <w:szCs w:val="30"/>
        </w:rPr>
        <w:t xml:space="preserve">тут, установленный на три года и более, не может быть менее чем </w:t>
      </w:r>
      <w:r w:rsidR="00EF28C6">
        <w:rPr>
          <w:sz w:val="30"/>
          <w:szCs w:val="30"/>
        </w:rPr>
        <w:t xml:space="preserve">             </w:t>
      </w:r>
      <w:r w:rsidR="00DE30C1" w:rsidRPr="008F6791">
        <w:rPr>
          <w:sz w:val="30"/>
          <w:szCs w:val="30"/>
        </w:rPr>
        <w:t>0,1</w:t>
      </w:r>
      <w:r w:rsidR="00DE30C1" w:rsidRPr="008F6791">
        <w:rPr>
          <w:rStyle w:val="a4"/>
          <w:b w:val="false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кадастровой стоимости земельного участка, обремененного серв</w:t>
      </w:r>
      <w:r w:rsidR="00DE30C1" w:rsidRPr="008F6791">
        <w:rPr>
          <w:sz w:val="30"/>
          <w:szCs w:val="30"/>
        </w:rPr>
        <w:t>и</w:t>
      </w:r>
      <w:r w:rsidR="00DE30C1" w:rsidRPr="008F6791">
        <w:rPr>
          <w:sz w:val="30"/>
          <w:szCs w:val="30"/>
        </w:rPr>
        <w:t>тутом, за весь срок сервитута;</w:t>
      </w:r>
      <w:proofErr w:type="gramEnd"/>
    </w:p>
    <w:p w:rsidP="00DE30C1" w:rsidR="00DE30C1" w:rsidRDefault="00DE30C1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 </w:t>
      </w:r>
      <w:r w:rsidR="00F66FE4">
        <w:rPr>
          <w:rStyle w:val="a4"/>
          <w:b w:val="false"/>
          <w:sz w:val="30"/>
          <w:szCs w:val="30"/>
        </w:rPr>
        <w:t xml:space="preserve">                         </w:t>
      </w:r>
      <w:r w:rsidR="00C90C9A">
        <w:rPr>
          <w:rStyle w:val="a4"/>
          <w:b w:val="false"/>
          <w:sz w:val="30"/>
          <w:szCs w:val="30"/>
        </w:rPr>
        <w:t>серви</w:t>
      </w:r>
      <w:r w:rsidRPr="008F6791">
        <w:rPr>
          <w:rStyle w:val="a4"/>
          <w:b w:val="false"/>
          <w:sz w:val="30"/>
          <w:szCs w:val="30"/>
        </w:rPr>
        <w:t>тута), кв. м.</w:t>
      </w:r>
    </w:p>
    <w:p w:rsidP="00DE30C1" w:rsidR="00DE30C1" w:rsidRDefault="00DE30C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7E1E8D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4F1632" w:rsidR="00EF28C6" w:rsidRDefault="00EF28C6" w:rsidRPr="00EF28C6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4F1632" w:rsidR="004F1632" w:rsidRDefault="00DE30C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EF28C6">
        <w:rPr>
          <w:sz w:val="30"/>
          <w:szCs w:val="30"/>
        </w:rPr>
        <w:t xml:space="preserve">Размер платы за публичный сервитут </w:t>
      </w:r>
      <w:r w:rsidRPr="00EF28C6">
        <w:rPr>
          <w:rStyle w:val="a4"/>
          <w:b w:val="false"/>
          <w:sz w:val="30"/>
          <w:szCs w:val="30"/>
        </w:rPr>
        <w:t xml:space="preserve">в отношении земель, </w:t>
      </w:r>
    </w:p>
    <w:p w:rsidP="004F1632" w:rsidR="00DE30C1" w:rsidRDefault="00DE30C1" w:rsidRPr="00EF28C6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EF28C6">
        <w:rPr>
          <w:rStyle w:val="a4"/>
          <w:b w:val="false"/>
          <w:sz w:val="30"/>
          <w:szCs w:val="30"/>
        </w:rPr>
        <w:t>госуда</w:t>
      </w:r>
      <w:r w:rsidRPr="00EF28C6">
        <w:rPr>
          <w:rStyle w:val="a4"/>
          <w:b w:val="false"/>
          <w:sz w:val="30"/>
          <w:szCs w:val="30"/>
        </w:rPr>
        <w:t>р</w:t>
      </w:r>
      <w:r w:rsidRPr="00EF28C6">
        <w:rPr>
          <w:rStyle w:val="a4"/>
          <w:b w:val="false"/>
          <w:sz w:val="30"/>
          <w:szCs w:val="30"/>
        </w:rPr>
        <w:t xml:space="preserve">ственная </w:t>
      </w:r>
      <w:proofErr w:type="gramStart"/>
      <w:r w:rsidRPr="00EF28C6">
        <w:rPr>
          <w:rStyle w:val="a4"/>
          <w:b w:val="false"/>
          <w:sz w:val="30"/>
          <w:szCs w:val="30"/>
        </w:rPr>
        <w:t>собственн</w:t>
      </w:r>
      <w:r w:rsidR="004F1632">
        <w:rPr>
          <w:rStyle w:val="a4"/>
          <w:b w:val="false"/>
          <w:sz w:val="30"/>
          <w:szCs w:val="30"/>
        </w:rPr>
        <w:t>ость</w:t>
      </w:r>
      <w:proofErr w:type="gramEnd"/>
      <w:r w:rsidR="004F1632">
        <w:rPr>
          <w:rStyle w:val="a4"/>
          <w:b w:val="false"/>
          <w:sz w:val="30"/>
          <w:szCs w:val="30"/>
        </w:rPr>
        <w:t xml:space="preserve"> на которые не разграничена</w:t>
      </w:r>
    </w:p>
    <w:p w:rsidP="004F1632" w:rsidR="00EF28C6" w:rsidRDefault="00EF28C6" w:rsidRPr="00EF28C6">
      <w:pPr>
        <w:widowControl w:val="false"/>
        <w:suppressAutoHyphens w:val="false"/>
        <w:spacing w:line="192" w:lineRule="auto"/>
        <w:jc w:val="center"/>
        <w:rPr>
          <w:sz w:val="30"/>
          <w:szCs w:val="30"/>
        </w:rPr>
      </w:pPr>
    </w:p>
    <w:tbl>
      <w:tblPr>
        <w:tblW w:type="pct" w:w="4939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843"/>
        <w:gridCol w:w="1546"/>
        <w:gridCol w:w="1824"/>
        <w:gridCol w:w="1338"/>
        <w:gridCol w:w="1458"/>
        <w:gridCol w:w="1347"/>
      </w:tblGrid>
      <w:tr w:rsidR="00DE30C1" w:rsidRPr="008F6791" w:rsidTr="00EF28C6">
        <w:trPr>
          <w:trHeight w:val="1941"/>
        </w:trPr>
        <w:tc>
          <w:tcPr>
            <w:tcW w:type="pct" w:w="9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>Номер кадас</w:t>
            </w:r>
            <w:r w:rsidRPr="008F6791">
              <w:t>т</w:t>
            </w:r>
            <w:r w:rsidRPr="008F6791">
              <w:t>рового кварт</w:t>
            </w:r>
            <w:r w:rsidRPr="008F6791">
              <w:t>а</w:t>
            </w:r>
            <w:r w:rsidRPr="008F6791">
              <w:t>ла земель</w:t>
            </w:r>
          </w:p>
        </w:tc>
        <w:tc>
          <w:tcPr>
            <w:tcW w:type="pct" w:w="8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ная 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7E1E8D" w:rsidR="00EF28C6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</w:t>
            </w:r>
            <w:r w:rsidR="007E1E8D">
              <w:t>весь период</w:t>
            </w:r>
            <w:r>
              <w:t xml:space="preserve">, </w:t>
            </w:r>
          </w:p>
          <w:p w:rsidP="007E1E8D" w:rsidR="00DE30C1" w:rsidRDefault="00EF28C6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</w:t>
            </w:r>
            <w:r w:rsidRPr="008F6791">
              <w:t>Р</w:t>
            </w:r>
            <w:r w:rsidRPr="008F6791">
              <w:rPr>
                <w:vertAlign w:val="subscript"/>
              </w:rPr>
              <w:t>П</w:t>
            </w:r>
            <w:r w:rsidR="00DE30C1">
              <w:t>)</w:t>
            </w:r>
          </w:p>
        </w:tc>
      </w:tr>
      <w:tr w:rsidR="00DE30C1" w:rsidRPr="008F6791" w:rsidTr="004F1632">
        <w:trPr>
          <w:trHeight w:val="357"/>
        </w:trPr>
        <w:tc>
          <w:tcPr>
            <w:tcW w:type="pct" w:w="9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C90C9A" w:rsidR="00C90C9A" w:rsidRDefault="00DE30C1" w:rsidRPr="00D53E4E">
            <w:pPr>
              <w:jc w:val="center"/>
            </w:pPr>
            <w:r w:rsidRPr="008F6791">
              <w:t>24:50:</w:t>
            </w:r>
            <w:r w:rsidR="000E6606">
              <w:t>0</w:t>
            </w:r>
            <w:r w:rsidR="00C90C9A">
              <w:t>200090,24:50:0300213</w:t>
            </w:r>
          </w:p>
        </w:tc>
        <w:tc>
          <w:tcPr>
            <w:tcW w:type="pct" w:w="8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F1632" w:rsidR="00DE30C1" w:rsidRDefault="00DE30C1" w:rsidRPr="008F6791">
            <w:pPr>
              <w:jc w:val="right"/>
            </w:pPr>
            <w:r>
              <w:t>998,41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F1632" w:rsidR="00DE30C1" w:rsidRDefault="00C90C9A" w:rsidRPr="00D53E4E">
            <w:pPr>
              <w:jc w:val="center"/>
            </w:pPr>
            <w:r>
              <w:t>319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4F1632" w:rsidR="00DE30C1" w:rsidRDefault="00DE30C1" w:rsidRPr="008F6791">
            <w:pPr>
              <w:jc w:val="center"/>
            </w:pPr>
            <w:r w:rsidRPr="008F6791">
              <w:t>0,</w:t>
            </w:r>
            <w:r w:rsidR="000C5EEB">
              <w:t>0</w:t>
            </w:r>
            <w:r w:rsidRPr="008F6791">
              <w:t>1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F1632" w:rsidR="00DE30C1" w:rsidRDefault="00C90C9A" w:rsidRPr="009423E0">
            <w:pPr>
              <w:jc w:val="right"/>
            </w:pPr>
            <w:r>
              <w:t>31,85</w:t>
            </w:r>
          </w:p>
        </w:tc>
        <w:tc>
          <w:tcPr>
            <w:tcW w:type="pct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4F1632" w:rsidR="00DE30C1" w:rsidRDefault="00C90C9A" w:rsidRPr="009423E0">
            <w:pPr>
              <w:ind w:left="-57" w:right="57"/>
              <w:jc w:val="right"/>
            </w:pPr>
            <w:r>
              <w:t>1</w:t>
            </w:r>
            <w:r w:rsidR="004F1632">
              <w:t xml:space="preserve"> </w:t>
            </w:r>
            <w:r>
              <w:t>560,65</w:t>
            </w:r>
          </w:p>
        </w:tc>
      </w:tr>
    </w:tbl>
    <w:p w:rsidP="00DE30C1" w:rsidR="00EF28C6" w:rsidRDefault="00EF28C6">
      <w:pPr>
        <w:suppressAutoHyphens w:val="false"/>
        <w:ind w:firstLine="709"/>
        <w:jc w:val="both"/>
        <w:rPr>
          <w:sz w:val="30"/>
          <w:szCs w:val="30"/>
        </w:rPr>
      </w:pPr>
    </w:p>
    <w:p w:rsidP="00DE30C1" w:rsidR="004F1632" w:rsidRDefault="004F1632">
      <w:pPr>
        <w:suppressAutoHyphens w:val="false"/>
        <w:ind w:firstLine="709"/>
        <w:jc w:val="both"/>
        <w:rPr>
          <w:sz w:val="30"/>
          <w:szCs w:val="30"/>
        </w:rPr>
      </w:pPr>
      <w:bookmarkStart w:id="0" w:name="_GoBack"/>
      <w:bookmarkEnd w:id="0"/>
    </w:p>
    <w:p w:rsidP="00DE30C1" w:rsidR="00DE30C1" w:rsidRDefault="00DE30C1" w:rsidRPr="00F64E68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E6606">
        <w:rPr>
          <w:sz w:val="30"/>
          <w:szCs w:val="30"/>
        </w:rPr>
        <w:t>111 05410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P="005027B2" w:rsidR="0067402F" w:rsidRDefault="00DE30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 w:rsidR="005027B2">
        <w:rPr>
          <w:sz w:val="30"/>
          <w:szCs w:val="30"/>
        </w:rPr>
        <w:t>.</w:t>
      </w:r>
    </w:p>
    <w:p w:rsidP="00DE30C1" w:rsidR="00DE30C1" w:rsidRDefault="00C90C9A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0E6606">
        <w:rPr>
          <w:sz w:val="30"/>
          <w:szCs w:val="30"/>
        </w:rPr>
        <w:t>П</w:t>
      </w:r>
      <w:r w:rsidR="00DE30C1">
        <w:rPr>
          <w:rStyle w:val="a4"/>
          <w:b w:val="false"/>
          <w:sz w:val="30"/>
          <w:szCs w:val="30"/>
        </w:rPr>
        <w:t>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9846C4" w:rsidR="001C1600" w:rsidRDefault="001C1600">
      <w:pPr>
        <w:pBdr>
          <w:bottom w:color="auto" w:space="1" w:sz="4" w:val="single"/>
        </w:pBdr>
        <w:jc w:val="both"/>
        <w:rPr>
          <w:sz w:val="30"/>
          <w:szCs w:val="30"/>
        </w:rPr>
      </w:pPr>
    </w:p>
    <w:sectPr w:rsidR="001C1600" w:rsidSect="004F1632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7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05052" w:rsidRDefault="00605052">
      <w:r>
        <w:separator/>
      </w:r>
    </w:p>
  </w:endnote>
  <w:endnote w:type="continuationSeparator" w:id="0">
    <w:p w:rsidR="00605052" w:rsidRDefault="0060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05052" w:rsidRDefault="00605052">
      <w:r>
        <w:rPr>
          <w:color w:val="000000"/>
        </w:rPr>
        <w:separator/>
      </w:r>
    </w:p>
  </w:footnote>
  <w:footnote w:type="continuationSeparator" w:id="0">
    <w:p w:rsidR="00605052" w:rsidRDefault="0060505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869980902"/>
      <w:docPartObj>
        <w:docPartGallery w:val="Page Numbers (Top of Page)"/>
        <w:docPartUnique/>
      </w:docPartObj>
    </w:sdtPr>
    <w:sdtEndPr/>
    <w:sdtContent>
      <w:p w:rsidR="00EF28C6" w:rsidRDefault="00EF28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3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514"/>
    <w:rsid w:val="000405C6"/>
    <w:rsid w:val="000504CD"/>
    <w:rsid w:val="000670C0"/>
    <w:rsid w:val="00087F10"/>
    <w:rsid w:val="000A2556"/>
    <w:rsid w:val="000C5EEB"/>
    <w:rsid w:val="000D7A1C"/>
    <w:rsid w:val="000E6606"/>
    <w:rsid w:val="000F2F26"/>
    <w:rsid w:val="001012A1"/>
    <w:rsid w:val="00114E39"/>
    <w:rsid w:val="00124936"/>
    <w:rsid w:val="00131518"/>
    <w:rsid w:val="00141D39"/>
    <w:rsid w:val="00157FE8"/>
    <w:rsid w:val="001652B6"/>
    <w:rsid w:val="00166F62"/>
    <w:rsid w:val="00167691"/>
    <w:rsid w:val="0017309F"/>
    <w:rsid w:val="00183265"/>
    <w:rsid w:val="001A7636"/>
    <w:rsid w:val="001C1600"/>
    <w:rsid w:val="001E327B"/>
    <w:rsid w:val="001E7A22"/>
    <w:rsid w:val="001F0FFE"/>
    <w:rsid w:val="001F1C83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7F66"/>
    <w:rsid w:val="002F5932"/>
    <w:rsid w:val="002F6C91"/>
    <w:rsid w:val="00304BA2"/>
    <w:rsid w:val="00305B92"/>
    <w:rsid w:val="003371E0"/>
    <w:rsid w:val="0034563D"/>
    <w:rsid w:val="00382BAF"/>
    <w:rsid w:val="00397D24"/>
    <w:rsid w:val="003A1BE4"/>
    <w:rsid w:val="003A41F2"/>
    <w:rsid w:val="003A6109"/>
    <w:rsid w:val="003C077F"/>
    <w:rsid w:val="003C346C"/>
    <w:rsid w:val="003F2D2C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C68F5"/>
    <w:rsid w:val="004E19C0"/>
    <w:rsid w:val="004F1632"/>
    <w:rsid w:val="005027B2"/>
    <w:rsid w:val="005136F7"/>
    <w:rsid w:val="00515346"/>
    <w:rsid w:val="00523966"/>
    <w:rsid w:val="00547B46"/>
    <w:rsid w:val="00556005"/>
    <w:rsid w:val="0056253B"/>
    <w:rsid w:val="00566892"/>
    <w:rsid w:val="00580A7E"/>
    <w:rsid w:val="005D4F73"/>
    <w:rsid w:val="005E001E"/>
    <w:rsid w:val="005E091B"/>
    <w:rsid w:val="005E0AB2"/>
    <w:rsid w:val="005E20DA"/>
    <w:rsid w:val="005F186E"/>
    <w:rsid w:val="005F56FD"/>
    <w:rsid w:val="00605052"/>
    <w:rsid w:val="00605B7C"/>
    <w:rsid w:val="00630B13"/>
    <w:rsid w:val="00633E4C"/>
    <w:rsid w:val="006408DA"/>
    <w:rsid w:val="006573A5"/>
    <w:rsid w:val="00666C10"/>
    <w:rsid w:val="0067402F"/>
    <w:rsid w:val="00675273"/>
    <w:rsid w:val="00684865"/>
    <w:rsid w:val="006879E9"/>
    <w:rsid w:val="00693B3A"/>
    <w:rsid w:val="006E3F3C"/>
    <w:rsid w:val="00710BA9"/>
    <w:rsid w:val="0072463B"/>
    <w:rsid w:val="00730356"/>
    <w:rsid w:val="007457F2"/>
    <w:rsid w:val="0076098E"/>
    <w:rsid w:val="00761F89"/>
    <w:rsid w:val="00792EBB"/>
    <w:rsid w:val="007A09F1"/>
    <w:rsid w:val="007A2A16"/>
    <w:rsid w:val="007A6A8C"/>
    <w:rsid w:val="007A77D2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23626"/>
    <w:rsid w:val="00831C72"/>
    <w:rsid w:val="008471B9"/>
    <w:rsid w:val="008944CF"/>
    <w:rsid w:val="0089584C"/>
    <w:rsid w:val="008D596A"/>
    <w:rsid w:val="008D5FED"/>
    <w:rsid w:val="008E4078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E7211"/>
    <w:rsid w:val="00A2773B"/>
    <w:rsid w:val="00A27F17"/>
    <w:rsid w:val="00A80BDF"/>
    <w:rsid w:val="00AB6165"/>
    <w:rsid w:val="00AC1DF5"/>
    <w:rsid w:val="00AD74D9"/>
    <w:rsid w:val="00AF572D"/>
    <w:rsid w:val="00AF6465"/>
    <w:rsid w:val="00B0578F"/>
    <w:rsid w:val="00B07EB0"/>
    <w:rsid w:val="00B14E9F"/>
    <w:rsid w:val="00B16147"/>
    <w:rsid w:val="00B24985"/>
    <w:rsid w:val="00B27D96"/>
    <w:rsid w:val="00B305AB"/>
    <w:rsid w:val="00B32308"/>
    <w:rsid w:val="00B345A4"/>
    <w:rsid w:val="00B37FF8"/>
    <w:rsid w:val="00B719C8"/>
    <w:rsid w:val="00B82538"/>
    <w:rsid w:val="00B91F7B"/>
    <w:rsid w:val="00B94249"/>
    <w:rsid w:val="00BB5092"/>
    <w:rsid w:val="00BE31F4"/>
    <w:rsid w:val="00BF0CD1"/>
    <w:rsid w:val="00C06410"/>
    <w:rsid w:val="00C228C5"/>
    <w:rsid w:val="00C31592"/>
    <w:rsid w:val="00C56AEA"/>
    <w:rsid w:val="00C706CD"/>
    <w:rsid w:val="00C73A21"/>
    <w:rsid w:val="00C831B0"/>
    <w:rsid w:val="00C90C9A"/>
    <w:rsid w:val="00C96F13"/>
    <w:rsid w:val="00CE1C5E"/>
    <w:rsid w:val="00CE59DD"/>
    <w:rsid w:val="00D25244"/>
    <w:rsid w:val="00D35A98"/>
    <w:rsid w:val="00D53DFF"/>
    <w:rsid w:val="00D549D4"/>
    <w:rsid w:val="00D71DD8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6187"/>
    <w:rsid w:val="00E77346"/>
    <w:rsid w:val="00E9163B"/>
    <w:rsid w:val="00E95EA6"/>
    <w:rsid w:val="00E96B24"/>
    <w:rsid w:val="00E97688"/>
    <w:rsid w:val="00EA0BD7"/>
    <w:rsid w:val="00EA2614"/>
    <w:rsid w:val="00EB74D5"/>
    <w:rsid w:val="00EC15BB"/>
    <w:rsid w:val="00EC3A80"/>
    <w:rsid w:val="00EE6F07"/>
    <w:rsid w:val="00EF28C6"/>
    <w:rsid w:val="00F04B4D"/>
    <w:rsid w:val="00F07B4E"/>
    <w:rsid w:val="00F1537F"/>
    <w:rsid w:val="00F410EE"/>
    <w:rsid w:val="00F544D8"/>
    <w:rsid w:val="00F60A40"/>
    <w:rsid w:val="00F64E68"/>
    <w:rsid w:val="00F66FE4"/>
    <w:rsid w:val="00F838AA"/>
    <w:rsid w:val="00F95F44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373F494-FF36-4197-B3F8-3D143AFE1944}"/>
</file>

<file path=customXml/itemProps2.xml><?xml version="1.0" encoding="utf-8"?>
<ds:datastoreItem xmlns:ds="http://schemas.openxmlformats.org/officeDocument/2006/customXml" ds:itemID="{9014CB70-724C-4B3E-BED8-47E7454CC2BA}"/>
</file>

<file path=customXml/itemProps3.xml><?xml version="1.0" encoding="utf-8"?>
<ds:datastoreItem xmlns:ds="http://schemas.openxmlformats.org/officeDocument/2006/customXml" ds:itemID="{33D7D156-E84F-48F8-A85F-75CCD615D752}"/>
</file>

<file path=customXml/itemProps4.xml><?xml version="1.0" encoding="utf-8"?>
<ds:datastoreItem xmlns:ds="http://schemas.openxmlformats.org/officeDocument/2006/customXml" ds:itemID="{288A3AAF-6E6D-4D2D-81DA-CFCAE8C60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Jon</dc:creator>
  <cp:lastModifiedBy>Бабинцева Ксения Геннадьевна</cp:lastModifiedBy>
  <cp:revision>4</cp:revision>
  <cp:lastPrinted>2025-05-28T05:19:00Z</cp:lastPrinted>
  <dcterms:created xsi:type="dcterms:W3CDTF">2025-06-02T04:09:00Z</dcterms:created>
  <dcterms:modified xsi:type="dcterms:W3CDTF">2025-06-03T04:28:00Z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