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230C1" w:rsidR="00131518" w:rsidRDefault="00131518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7E1833" w:rsidRDefault="007E1833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230C1" w:rsidRDefault="001230C1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1230C1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230C1" w:rsidR="0067402F" w:rsidRDefault="0067402F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230C1" w:rsidRDefault="001230C1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057953" w:rsidR="00057953" w:rsidRDefault="0005795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1230C1">
        <w:rPr>
          <w:rStyle w:val="a4"/>
          <w:b w:val="false"/>
          <w:sz w:val="30"/>
          <w:szCs w:val="30"/>
        </w:rPr>
        <w:t xml:space="preserve">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057953" w:rsidR="00057953" w:rsidRDefault="00057953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057953" w:rsidR="00057953" w:rsidRDefault="00057953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057953" w:rsidR="00057953" w:rsidRDefault="00057953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057953" w:rsidR="00057953" w:rsidRDefault="00057953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DE30C1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BD3B34" w:rsidR="00DE30C1" w:rsidRDefault="001A7C87">
      <w:pPr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B345A4">
        <w:rPr>
          <w:sz w:val="30"/>
          <w:szCs w:val="30"/>
        </w:rPr>
        <w:t xml:space="preserve">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P="001A7C87" w:rsidR="001230C1" w:rsidRDefault="001230C1">
      <w:pPr>
        <w:ind w:firstLine="709"/>
        <w:jc w:val="center"/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8"/>
        <w:gridCol w:w="1701"/>
        <w:gridCol w:w="1824"/>
        <w:gridCol w:w="1338"/>
        <w:gridCol w:w="1458"/>
        <w:gridCol w:w="1347"/>
      </w:tblGrid>
      <w:tr w:rsidR="00DE30C1" w:rsidRPr="008F6791" w:rsidTr="001230C1">
        <w:trPr>
          <w:trHeight w:val="1941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EA2614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E1E8D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P="007E1E8D" w:rsidR="00DE30C1" w:rsidRDefault="001230C1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r w:rsidR="00DE30C1">
              <w:t>)</w:t>
            </w:r>
          </w:p>
        </w:tc>
      </w:tr>
      <w:tr w:rsidR="00DE30C1" w:rsidRPr="008F6791" w:rsidTr="00AB652D">
        <w:trPr>
          <w:trHeight w:val="357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046625" w:rsidR="00A70B05" w:rsidRDefault="00BD3B34">
            <w:pPr>
              <w:jc w:val="center"/>
            </w:pPr>
            <w:r>
              <w:t>24:50:0100225</w:t>
            </w:r>
          </w:p>
          <w:p w:rsidP="00046625" w:rsidR="00D113E5" w:rsidRDefault="00BD3B34" w:rsidRPr="00D53E4E">
            <w:pPr>
              <w:jc w:val="center"/>
            </w:pPr>
            <w:r>
              <w:t>24:50:0100231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D3B34" w:rsidR="00DE30C1" w:rsidRDefault="00DE30C1" w:rsidRPr="008F6791">
            <w:pPr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D3B34" w:rsidR="00DE30C1" w:rsidRDefault="00BD3B34" w:rsidRPr="00D53E4E">
            <w:pPr>
              <w:jc w:val="center"/>
            </w:pPr>
            <w:r>
              <w:t>241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3B34" w:rsidR="00DE30C1" w:rsidRDefault="00DE30C1" w:rsidRPr="008F6791">
            <w:pPr>
              <w:jc w:val="center"/>
            </w:pPr>
            <w:r w:rsidRPr="008F6791">
              <w:t>0,1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B652D" w:rsidR="00DE30C1" w:rsidRDefault="00BD3B34" w:rsidRPr="009423E0">
            <w:pPr>
              <w:jc w:val="right"/>
            </w:pPr>
            <w:bookmarkStart w:id="0" w:name="_GoBack"/>
            <w:bookmarkEnd w:id="0"/>
            <w:r>
              <w:t>240,62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3B34" w:rsidR="00DE30C1" w:rsidRDefault="00BD3B34" w:rsidRPr="009423E0">
            <w:pPr>
              <w:ind w:left="-57" w:right="57"/>
              <w:jc w:val="right"/>
            </w:pPr>
            <w:r>
              <w:t>401,03</w:t>
            </w:r>
          </w:p>
        </w:tc>
      </w:tr>
    </w:tbl>
    <w:p w:rsidP="00DE30C1" w:rsidR="001230C1" w:rsidRDefault="001230C1">
      <w:pPr>
        <w:suppressAutoHyphens w:val="false"/>
        <w:ind w:firstLine="709"/>
        <w:jc w:val="both"/>
        <w:rPr>
          <w:sz w:val="30"/>
          <w:szCs w:val="30"/>
        </w:rPr>
      </w:pPr>
    </w:p>
    <w:p w:rsidP="00DE30C1" w:rsidR="00DE30C1" w:rsidRDefault="00DE30C1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57953">
        <w:rPr>
          <w:sz w:val="30"/>
          <w:szCs w:val="30"/>
        </w:rPr>
        <w:t>111 05410 04 0000</w:t>
      </w:r>
      <w:r w:rsidRPr="00260013">
        <w:rPr>
          <w:sz w:val="30"/>
          <w:szCs w:val="30"/>
        </w:rPr>
        <w:t xml:space="preserve"> 120</w:t>
      </w:r>
      <w:r>
        <w:rPr>
          <w:sz w:val="30"/>
          <w:szCs w:val="30"/>
        </w:rPr>
        <w:t>;</w:t>
      </w:r>
    </w:p>
    <w:p w:rsidP="005027B2" w:rsidR="0067402F" w:rsidRDefault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P="00057953" w:rsidR="001C1600" w:rsidRDefault="00BD3B34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057953">
        <w:rPr>
          <w:sz w:val="30"/>
          <w:szCs w:val="30"/>
        </w:rPr>
        <w:t>П</w:t>
      </w:r>
      <w:r>
        <w:rPr>
          <w:sz w:val="30"/>
          <w:szCs w:val="30"/>
        </w:rPr>
        <w:t>л</w:t>
      </w:r>
      <w:r w:rsidR="00DE30C1">
        <w:rPr>
          <w:rStyle w:val="a4"/>
          <w:b w:val="false"/>
          <w:sz w:val="30"/>
          <w:szCs w:val="30"/>
        </w:rPr>
        <w:t>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A95E29" w:rsidR="00A95E29" w:rsidRDefault="00A95E29">
      <w:pPr>
        <w:pBdr>
          <w:bottom w:color="auto" w:space="1" w:sz="4" w:val="single"/>
        </w:pBdr>
        <w:suppressAutoHyphens w:val="false"/>
        <w:ind w:firstLine="709"/>
        <w:jc w:val="both"/>
        <w:rPr>
          <w:sz w:val="30"/>
          <w:szCs w:val="30"/>
        </w:rPr>
      </w:pPr>
    </w:p>
    <w:sectPr w:rsidR="00A95E29" w:rsidSect="001230C1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8"/>
      <w:cols w:space="72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81AB0" w:rsidRDefault="00181AB0">
      <w:r>
        <w:separator/>
      </w:r>
    </w:p>
  </w:endnote>
  <w:endnote w:type="continuationSeparator" w:id="0">
    <w:p w:rsidR="00181AB0" w:rsidRDefault="0018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81AB0" w:rsidRDefault="00181AB0">
      <w:r>
        <w:rPr>
          <w:color w:val="000000"/>
        </w:rPr>
        <w:separator/>
      </w:r>
    </w:p>
  </w:footnote>
  <w:footnote w:type="continuationSeparator" w:id="0">
    <w:p w:rsidR="00181AB0" w:rsidRDefault="00181AB0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B652D">
      <w:rPr>
        <w:noProof/>
      </w:rPr>
      <w:t>9</w:t>
    </w:r>
    <w:r>
      <w:fldChar w:fldCharType="end"/>
    </w: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6625"/>
    <w:rsid w:val="000504CD"/>
    <w:rsid w:val="00057953"/>
    <w:rsid w:val="00087F10"/>
    <w:rsid w:val="000A2556"/>
    <w:rsid w:val="000C5EEB"/>
    <w:rsid w:val="000D7A1C"/>
    <w:rsid w:val="000E07F8"/>
    <w:rsid w:val="000F2F26"/>
    <w:rsid w:val="00114E39"/>
    <w:rsid w:val="001230C1"/>
    <w:rsid w:val="00123D99"/>
    <w:rsid w:val="00124936"/>
    <w:rsid w:val="00131518"/>
    <w:rsid w:val="00141D39"/>
    <w:rsid w:val="00157FE8"/>
    <w:rsid w:val="001652B6"/>
    <w:rsid w:val="00166F62"/>
    <w:rsid w:val="00167691"/>
    <w:rsid w:val="0017309F"/>
    <w:rsid w:val="00181AB0"/>
    <w:rsid w:val="00183265"/>
    <w:rsid w:val="001A7636"/>
    <w:rsid w:val="001A7C87"/>
    <w:rsid w:val="001C1600"/>
    <w:rsid w:val="001E327B"/>
    <w:rsid w:val="001E7A22"/>
    <w:rsid w:val="001F0FFE"/>
    <w:rsid w:val="001F1C83"/>
    <w:rsid w:val="002264C4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3FCC"/>
    <w:rsid w:val="002F5932"/>
    <w:rsid w:val="002F6C91"/>
    <w:rsid w:val="00304BA2"/>
    <w:rsid w:val="00305B92"/>
    <w:rsid w:val="003371E0"/>
    <w:rsid w:val="0034563D"/>
    <w:rsid w:val="00357DEB"/>
    <w:rsid w:val="00382BAF"/>
    <w:rsid w:val="00397D24"/>
    <w:rsid w:val="003A1BE4"/>
    <w:rsid w:val="003A41F2"/>
    <w:rsid w:val="003A6109"/>
    <w:rsid w:val="003B3A7A"/>
    <w:rsid w:val="003C077F"/>
    <w:rsid w:val="003C10E1"/>
    <w:rsid w:val="003F2D2C"/>
    <w:rsid w:val="00407559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45BF9"/>
    <w:rsid w:val="006573A5"/>
    <w:rsid w:val="006653B1"/>
    <w:rsid w:val="00666C10"/>
    <w:rsid w:val="0067402F"/>
    <w:rsid w:val="00675273"/>
    <w:rsid w:val="00684865"/>
    <w:rsid w:val="006879E9"/>
    <w:rsid w:val="00693B3A"/>
    <w:rsid w:val="006E3F3C"/>
    <w:rsid w:val="00710BA9"/>
    <w:rsid w:val="0072463B"/>
    <w:rsid w:val="00730356"/>
    <w:rsid w:val="007457F2"/>
    <w:rsid w:val="0076098E"/>
    <w:rsid w:val="00761517"/>
    <w:rsid w:val="00761F89"/>
    <w:rsid w:val="00764AF9"/>
    <w:rsid w:val="00792EBB"/>
    <w:rsid w:val="007A09F1"/>
    <w:rsid w:val="007A2A16"/>
    <w:rsid w:val="007A6A8C"/>
    <w:rsid w:val="007A77D2"/>
    <w:rsid w:val="007D0E7A"/>
    <w:rsid w:val="007D2D04"/>
    <w:rsid w:val="007D6E69"/>
    <w:rsid w:val="007D7217"/>
    <w:rsid w:val="007E0A61"/>
    <w:rsid w:val="007E1833"/>
    <w:rsid w:val="007E1E8D"/>
    <w:rsid w:val="007E3366"/>
    <w:rsid w:val="007E4757"/>
    <w:rsid w:val="007E5DC9"/>
    <w:rsid w:val="007E745A"/>
    <w:rsid w:val="00823626"/>
    <w:rsid w:val="00831C72"/>
    <w:rsid w:val="00832FD0"/>
    <w:rsid w:val="008471B9"/>
    <w:rsid w:val="008944CF"/>
    <w:rsid w:val="0089584C"/>
    <w:rsid w:val="008D596A"/>
    <w:rsid w:val="008D5FED"/>
    <w:rsid w:val="008E4078"/>
    <w:rsid w:val="008F352F"/>
    <w:rsid w:val="008F6791"/>
    <w:rsid w:val="008F7AE1"/>
    <w:rsid w:val="00900A45"/>
    <w:rsid w:val="009149F8"/>
    <w:rsid w:val="00920F44"/>
    <w:rsid w:val="009251BF"/>
    <w:rsid w:val="00927C47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53F8"/>
    <w:rsid w:val="00A2773B"/>
    <w:rsid w:val="00A27F17"/>
    <w:rsid w:val="00A70B05"/>
    <w:rsid w:val="00A80BDF"/>
    <w:rsid w:val="00A95E29"/>
    <w:rsid w:val="00AB6165"/>
    <w:rsid w:val="00AB652D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41A8A"/>
    <w:rsid w:val="00B65FC4"/>
    <w:rsid w:val="00B719C8"/>
    <w:rsid w:val="00B82538"/>
    <w:rsid w:val="00B91F7B"/>
    <w:rsid w:val="00B94249"/>
    <w:rsid w:val="00BB5092"/>
    <w:rsid w:val="00BD3B34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6F13"/>
    <w:rsid w:val="00CB4038"/>
    <w:rsid w:val="00CE1C5E"/>
    <w:rsid w:val="00CE59DD"/>
    <w:rsid w:val="00D113E5"/>
    <w:rsid w:val="00D25244"/>
    <w:rsid w:val="00D352BE"/>
    <w:rsid w:val="00D35A98"/>
    <w:rsid w:val="00D53DFF"/>
    <w:rsid w:val="00D549D4"/>
    <w:rsid w:val="00D71DD8"/>
    <w:rsid w:val="00D85773"/>
    <w:rsid w:val="00D91284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6709F"/>
    <w:rsid w:val="00E77346"/>
    <w:rsid w:val="00E9163B"/>
    <w:rsid w:val="00E95EA6"/>
    <w:rsid w:val="00E96B24"/>
    <w:rsid w:val="00E97688"/>
    <w:rsid w:val="00EA2614"/>
    <w:rsid w:val="00EB74D5"/>
    <w:rsid w:val="00EC15BB"/>
    <w:rsid w:val="00EC3A80"/>
    <w:rsid w:val="00EE6F07"/>
    <w:rsid w:val="00F04B4D"/>
    <w:rsid w:val="00F07B4E"/>
    <w:rsid w:val="00F410EE"/>
    <w:rsid w:val="00F544D8"/>
    <w:rsid w:val="00F60A40"/>
    <w:rsid w:val="00F64E68"/>
    <w:rsid w:val="00F66FE4"/>
    <w:rsid w:val="00F838AA"/>
    <w:rsid w:val="00F920B9"/>
    <w:rsid w:val="00FA3691"/>
    <w:rsid w:val="00FA42B6"/>
    <w:rsid w:val="00FC693B"/>
    <w:rsid w:val="00FD38C8"/>
    <w:rsid w:val="00FD6BEB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F270A5-9686-48C3-93E0-F530F62C0457}"/>
</file>

<file path=customXml/itemProps2.xml><?xml version="1.0" encoding="utf-8"?>
<ds:datastoreItem xmlns:ds="http://schemas.openxmlformats.org/officeDocument/2006/customXml" ds:itemID="{B058BF24-95F7-49D7-B9EE-7C5AF124C28A}"/>
</file>

<file path=customXml/itemProps3.xml><?xml version="1.0" encoding="utf-8"?>
<ds:datastoreItem xmlns:ds="http://schemas.openxmlformats.org/officeDocument/2006/customXml" ds:itemID="{3577BA0E-6BF3-4BF9-BF7E-7E8514E8BCD0}"/>
</file>

<file path=customXml/itemProps4.xml><?xml version="1.0" encoding="utf-8"?>
<ds:datastoreItem xmlns:ds="http://schemas.openxmlformats.org/officeDocument/2006/customXml" ds:itemID="{815AAB91-E439-486C-9097-4B0F8C4FC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5</cp:revision>
  <cp:lastPrinted>2025-05-13T07:37:00Z</cp:lastPrinted>
  <dcterms:created xsi:type="dcterms:W3CDTF">2025-05-13T04:02:00Z</dcterms:created>
  <dcterms:modified xsi:type="dcterms:W3CDTF">2025-05-13T07:37:00Z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