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E45F57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15.04.2026</w:t>
      </w:r>
      <w:r w:rsidR="000C61CB">
        <w:rPr>
          <w:sz w:val="30"/>
          <w:szCs w:val="30"/>
        </w:rPr>
        <w:t xml:space="preserve">  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28538D">
        <w:rPr>
          <w:sz w:val="30"/>
          <w:szCs w:val="30"/>
        </w:rPr>
        <w:t xml:space="preserve">    </w:t>
      </w:r>
      <w:r w:rsidR="00372305">
        <w:rPr>
          <w:sz w:val="30"/>
          <w:szCs w:val="30"/>
        </w:rPr>
        <w:t xml:space="preserve">     </w:t>
      </w:r>
      <w:r w:rsidR="00434D5F">
        <w:rPr>
          <w:sz w:val="30"/>
          <w:szCs w:val="30"/>
        </w:rPr>
        <w:t xml:space="preserve">  </w:t>
      </w:r>
      <w:r w:rsidR="009A0EB5">
        <w:rPr>
          <w:sz w:val="30"/>
          <w:szCs w:val="30"/>
        </w:rPr>
        <w:t xml:space="preserve">         </w:t>
      </w:r>
      <w:r w:rsidR="002B3855">
        <w:rPr>
          <w:sz w:val="30"/>
          <w:szCs w:val="30"/>
        </w:rPr>
        <w:t xml:space="preserve">      </w:t>
      </w:r>
      <w:r w:rsidR="00434D5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94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3E271E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3E271E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1</w:t>
      </w:r>
      <w:r w:rsidR="000F7446" w:rsidRPr="003E271E">
        <w:rPr>
          <w:sz w:val="30"/>
          <w:szCs w:val="30"/>
        </w:rPr>
        <w:t>) после строки с кодом бюджетной классификации «</w:t>
      </w:r>
      <w:r w:rsidR="00E27A3A" w:rsidRPr="00110919">
        <w:rPr>
          <w:color w:val="000000"/>
          <w:sz w:val="30"/>
          <w:szCs w:val="30"/>
        </w:rPr>
        <w:t>2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02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25750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04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0000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150</w:t>
      </w:r>
      <w:r w:rsidR="000F7446" w:rsidRPr="003E271E">
        <w:rPr>
          <w:sz w:val="30"/>
          <w:szCs w:val="30"/>
        </w:rPr>
        <w:t>», наименованием «</w:t>
      </w:r>
      <w:r w:rsidR="00E27A3A" w:rsidRPr="00110919">
        <w:rPr>
          <w:color w:val="000000"/>
          <w:sz w:val="30"/>
          <w:szCs w:val="30"/>
        </w:rPr>
        <w:t>Субсидии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бюджетам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городских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округов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на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реализацию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мероприятий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по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модернизации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школьных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систем</w:t>
      </w:r>
      <w:r w:rsidR="00E27A3A">
        <w:rPr>
          <w:color w:val="000000"/>
          <w:sz w:val="30"/>
          <w:szCs w:val="30"/>
        </w:rPr>
        <w:t xml:space="preserve"> </w:t>
      </w:r>
      <w:r w:rsidR="00E27A3A" w:rsidRPr="00110919">
        <w:rPr>
          <w:color w:val="000000"/>
          <w:sz w:val="30"/>
          <w:szCs w:val="30"/>
        </w:rPr>
        <w:t>образования</w:t>
      </w:r>
      <w:r w:rsidR="000F7446" w:rsidRPr="003E271E">
        <w:rPr>
          <w:sz w:val="30"/>
          <w:szCs w:val="30"/>
        </w:rPr>
        <w:t>» дополнить строкой:</w:t>
      </w:r>
    </w:p>
    <w:p w:rsidR="000F7446" w:rsidRPr="00864068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с кодом бюджетной классификации «2 02 </w:t>
      </w:r>
      <w:r w:rsidR="006D56E6" w:rsidRPr="00864068">
        <w:rPr>
          <w:sz w:val="30"/>
          <w:szCs w:val="30"/>
        </w:rPr>
        <w:t>2</w:t>
      </w:r>
      <w:r w:rsidRPr="00864068">
        <w:rPr>
          <w:sz w:val="30"/>
          <w:szCs w:val="30"/>
        </w:rPr>
        <w:t xml:space="preserve">9999 04 </w:t>
      </w:r>
      <w:r w:rsidR="00E27A3A" w:rsidRPr="00864068">
        <w:rPr>
          <w:sz w:val="30"/>
          <w:szCs w:val="30"/>
        </w:rPr>
        <w:t>2654</w:t>
      </w:r>
      <w:r w:rsidRPr="00864068">
        <w:rPr>
          <w:sz w:val="30"/>
          <w:szCs w:val="30"/>
        </w:rPr>
        <w:t xml:space="preserve"> 150», наименованием «</w:t>
      </w:r>
      <w:r w:rsidR="009F3FE8" w:rsidRPr="00864068">
        <w:rPr>
          <w:sz w:val="30"/>
          <w:szCs w:val="30"/>
        </w:rPr>
        <w:t>Прочие субсидии бюджетам городских округов (на</w:t>
      </w:r>
      <w:r w:rsidR="00E27A3A" w:rsidRPr="00864068">
        <w:rPr>
          <w:sz w:val="30"/>
          <w:szCs w:val="30"/>
        </w:rPr>
        <w:t xml:space="preserve"> развитие детско-юношеского спорта</w:t>
      </w:r>
      <w:r w:rsidR="009F3FE8" w:rsidRPr="00864068"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B86A33" w:rsidRPr="00864068" w:rsidRDefault="00B86A33" w:rsidP="00B86A33">
      <w:pPr>
        <w:pStyle w:val="aa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2) после строки с кодом бюджетной классификации «</w:t>
      </w:r>
      <w:r w:rsidR="00963A36" w:rsidRPr="00864068">
        <w:rPr>
          <w:sz w:val="30"/>
          <w:szCs w:val="30"/>
        </w:rPr>
        <w:t>2 02 29999 04 7437 150</w:t>
      </w:r>
      <w:r w:rsidRPr="00864068">
        <w:rPr>
          <w:sz w:val="30"/>
          <w:szCs w:val="30"/>
        </w:rPr>
        <w:t>», наименованием «</w:t>
      </w:r>
      <w:r w:rsidR="00963A36" w:rsidRPr="00864068">
        <w:rPr>
          <w:sz w:val="30"/>
          <w:szCs w:val="30"/>
        </w:rPr>
        <w:t>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</w:t>
      </w:r>
      <w:r w:rsidRPr="00864068">
        <w:rPr>
          <w:sz w:val="30"/>
          <w:szCs w:val="30"/>
        </w:rPr>
        <w:t>» дополнить строкой:</w:t>
      </w:r>
    </w:p>
    <w:p w:rsidR="00B86A33" w:rsidRPr="00864068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с кодом бюджетной к</w:t>
      </w:r>
      <w:r w:rsidR="00963A36" w:rsidRPr="00864068">
        <w:rPr>
          <w:sz w:val="30"/>
          <w:szCs w:val="30"/>
        </w:rPr>
        <w:t>лассификации «2 02 29999 04 7449</w:t>
      </w:r>
      <w:r w:rsidRPr="00864068">
        <w:rPr>
          <w:sz w:val="30"/>
          <w:szCs w:val="30"/>
        </w:rPr>
        <w:t xml:space="preserve"> 150», наименованием «</w:t>
      </w:r>
      <w:r w:rsidR="009F3FE8" w:rsidRPr="00864068">
        <w:rPr>
          <w:sz w:val="30"/>
          <w:szCs w:val="30"/>
        </w:rPr>
        <w:t>Прочие субсидии бюджетам городских округов (на</w:t>
      </w:r>
      <w:r w:rsidR="00963A36" w:rsidRPr="00864068">
        <w:rPr>
          <w:sz w:val="30"/>
          <w:szCs w:val="30"/>
        </w:rPr>
        <w:t xml:space="preserve"> государственную поддержку комплексного развития муниципальных учреждений культуры</w:t>
      </w:r>
      <w:r w:rsidR="009F3FE8" w:rsidRPr="00864068"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372305" w:rsidRPr="00864068" w:rsidRDefault="00372305" w:rsidP="00372305">
      <w:pPr>
        <w:pStyle w:val="aa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3) после строки с кодом бюджетной классификации «</w:t>
      </w:r>
      <w:r w:rsidR="00617CA0" w:rsidRPr="00864068">
        <w:rPr>
          <w:sz w:val="30"/>
          <w:szCs w:val="30"/>
        </w:rPr>
        <w:t>2 02 29999 04 7470 150</w:t>
      </w:r>
      <w:r w:rsidRPr="00864068">
        <w:rPr>
          <w:sz w:val="30"/>
          <w:szCs w:val="30"/>
        </w:rPr>
        <w:t>», наименованием «</w:t>
      </w:r>
      <w:r w:rsidR="00617CA0" w:rsidRPr="00864068">
        <w:rPr>
          <w:sz w:val="30"/>
          <w:szCs w:val="30"/>
        </w:rPr>
        <w:t xml:space="preserve">Прочие субсидии бюджетам городских </w:t>
      </w:r>
      <w:r w:rsidR="00617CA0" w:rsidRPr="00864068">
        <w:rPr>
          <w:sz w:val="30"/>
          <w:szCs w:val="30"/>
        </w:rPr>
        <w:lastRenderedPageBreak/>
        <w:t>округов (на создание условий для предоставления горячего питания обучающимся общеобразовательных организаций)</w:t>
      </w:r>
      <w:r w:rsidRPr="00864068">
        <w:rPr>
          <w:sz w:val="30"/>
          <w:szCs w:val="30"/>
        </w:rPr>
        <w:t>» дополнить строкой:</w:t>
      </w:r>
    </w:p>
    <w:p w:rsidR="00372305" w:rsidRPr="00864068" w:rsidRDefault="00372305" w:rsidP="0037230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с кодом бюджетной классификации «2 02 29999 04 7</w:t>
      </w:r>
      <w:r w:rsidR="00617CA0" w:rsidRPr="00864068">
        <w:rPr>
          <w:sz w:val="30"/>
          <w:szCs w:val="30"/>
        </w:rPr>
        <w:t>482</w:t>
      </w:r>
      <w:r w:rsidRPr="00864068">
        <w:rPr>
          <w:sz w:val="30"/>
          <w:szCs w:val="30"/>
        </w:rPr>
        <w:t xml:space="preserve"> 150», наименованием «Прочие субсиди</w:t>
      </w:r>
      <w:r w:rsidR="00617CA0" w:rsidRPr="00864068">
        <w:rPr>
          <w:sz w:val="30"/>
          <w:szCs w:val="30"/>
        </w:rPr>
        <w:t>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</w:t>
      </w:r>
      <w:r w:rsidRPr="00864068">
        <w:rPr>
          <w:sz w:val="30"/>
          <w:szCs w:val="30"/>
        </w:rPr>
        <w:t>)»;</w:t>
      </w:r>
    </w:p>
    <w:p w:rsidR="00223A91" w:rsidRPr="00864068" w:rsidRDefault="00223A91" w:rsidP="00223A91">
      <w:pPr>
        <w:pStyle w:val="aa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4) после строки с кодом бюджетной классификации «</w:t>
      </w:r>
      <w:r w:rsidR="00FE36BA" w:rsidRPr="00864068">
        <w:rPr>
          <w:sz w:val="30"/>
          <w:szCs w:val="30"/>
        </w:rPr>
        <w:t>2 02 29999 04 7563 150</w:t>
      </w:r>
      <w:r w:rsidRPr="00864068">
        <w:rPr>
          <w:sz w:val="30"/>
          <w:szCs w:val="30"/>
        </w:rPr>
        <w:t>», наименованием «</w:t>
      </w:r>
      <w:r w:rsidR="000B490C" w:rsidRPr="00864068">
        <w:rPr>
          <w:sz w:val="30"/>
          <w:szCs w:val="30"/>
        </w:rPr>
        <w:t>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</w:t>
      </w:r>
      <w:r w:rsidRPr="00864068">
        <w:rPr>
          <w:sz w:val="30"/>
          <w:szCs w:val="30"/>
        </w:rPr>
        <w:t xml:space="preserve">» </w:t>
      </w:r>
      <w:r w:rsidR="000B490C" w:rsidRPr="00864068">
        <w:rPr>
          <w:sz w:val="30"/>
          <w:szCs w:val="30"/>
        </w:rPr>
        <w:t>дополнить строкой</w:t>
      </w:r>
      <w:r w:rsidRPr="00864068">
        <w:rPr>
          <w:sz w:val="30"/>
          <w:szCs w:val="30"/>
        </w:rPr>
        <w:t>:</w:t>
      </w:r>
    </w:p>
    <w:p w:rsidR="00223A91" w:rsidRPr="009C78D4" w:rsidRDefault="00223A91" w:rsidP="00223A91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 с кодом бюджетной к</w:t>
      </w:r>
      <w:r w:rsidR="000B490C">
        <w:rPr>
          <w:sz w:val="30"/>
          <w:szCs w:val="30"/>
        </w:rPr>
        <w:t>лассификации «2 02 29999 04 7567</w:t>
      </w:r>
      <w:r w:rsidRPr="009C78D4">
        <w:rPr>
          <w:sz w:val="30"/>
          <w:szCs w:val="30"/>
        </w:rPr>
        <w:t xml:space="preserve"> 150», наименованием «Прочие субсидии бюджетам городских округов (на</w:t>
      </w:r>
      <w:r w:rsidR="008C0C64">
        <w:rPr>
          <w:sz w:val="30"/>
          <w:szCs w:val="30"/>
        </w:rPr>
        <w:t xml:space="preserve"> </w:t>
      </w:r>
      <w:r w:rsidR="008C0C64"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0F7446" w:rsidRPr="00156EB3" w:rsidRDefault="009C78D4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5112C8" w:rsidRDefault="005112C8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5112C8" w:rsidRDefault="005112C8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5112C8" w:rsidRDefault="005112C8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D80CD4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73E79" w:rsidRDefault="00973E79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864068" w:rsidRDefault="00864068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B92DC9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4625C">
        <w:rPr>
          <w:color w:val="000000"/>
          <w:sz w:val="30"/>
          <w:szCs w:val="30"/>
        </w:rPr>
        <w:t>15.04.2026</w:t>
      </w:r>
      <w:r w:rsidR="002B3855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B4625C">
        <w:rPr>
          <w:color w:val="000000"/>
          <w:sz w:val="32"/>
          <w:szCs w:val="30"/>
        </w:rPr>
        <w:t xml:space="preserve"> 94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lastRenderedPageBreak/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B86A33" w:rsidRDefault="00AD2BD7" w:rsidP="00AD2BD7">
      <w:pPr>
        <w:ind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>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29999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04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7421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150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«Прочие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субсидии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бюджетам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городских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округов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(на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создание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новых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мест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общеобразовательных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организациях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Красноярска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за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счет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сре</w:t>
      </w:r>
      <w:proofErr w:type="gramStart"/>
      <w:r w:rsidRPr="00B86A33">
        <w:rPr>
          <w:sz w:val="30"/>
          <w:szCs w:val="30"/>
        </w:rPr>
        <w:t>дств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</w:t>
      </w:r>
      <w:proofErr w:type="gramEnd"/>
      <w:r w:rsidRPr="00B86A33">
        <w:rPr>
          <w:sz w:val="30"/>
          <w:szCs w:val="30"/>
        </w:rPr>
        <w:t>аевого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sz w:val="30"/>
          <w:szCs w:val="30"/>
        </w:rPr>
      </w:pPr>
      <w:r w:rsidRPr="0068136B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3E271E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4B5743">
        <w:rPr>
          <w:sz w:val="30"/>
          <w:szCs w:val="30"/>
        </w:rPr>
        <w:t>2 02 29999 04 7568 150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4B5743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</w:t>
      </w:r>
      <w:r>
        <w:rPr>
          <w:sz w:val="30"/>
          <w:szCs w:val="30"/>
        </w:rPr>
        <w:t>)»;</w:t>
      </w:r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</w:t>
      </w:r>
      <w:r>
        <w:rPr>
          <w:sz w:val="30"/>
          <w:szCs w:val="30"/>
        </w:rPr>
        <w:lastRenderedPageBreak/>
        <w:t>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lastRenderedPageBreak/>
        <w:t>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6C78A5" w:rsidRDefault="006C78A5" w:rsidP="006C78A5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</w:t>
      </w:r>
      <w:r>
        <w:rPr>
          <w:color w:val="000000"/>
          <w:sz w:val="30"/>
          <w:szCs w:val="30"/>
        </w:rPr>
        <w:lastRenderedPageBreak/>
        <w:t>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D15E75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7418 150 – 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</w:t>
      </w:r>
      <w:r w:rsidRPr="00996E5A">
        <w:rPr>
          <w:color w:val="000000"/>
          <w:sz w:val="30"/>
          <w:szCs w:val="30"/>
        </w:rPr>
        <w:lastRenderedPageBreak/>
        <w:t>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sectPr w:rsidR="00E55089" w:rsidSect="009A0EB5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5C">
          <w:rPr>
            <w:noProof/>
          </w:rPr>
          <w:t>3</w:t>
        </w:r>
        <w:r>
          <w:fldChar w:fldCharType="end"/>
        </w:r>
      </w:p>
      <w:p w:rsidR="002F7810" w:rsidRDefault="00B4625C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7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15.04.2026 № 94</docTitle>
  </documentManagement>
</p:properties>
</file>

<file path=customXml/itemProps1.xml><?xml version="1.0" encoding="utf-8"?>
<ds:datastoreItem xmlns:ds="http://schemas.openxmlformats.org/officeDocument/2006/customXml" ds:itemID="{7B9E0340-3803-4E89-8259-EC9C068A6C38}"/>
</file>

<file path=customXml/itemProps2.xml><?xml version="1.0" encoding="utf-8"?>
<ds:datastoreItem xmlns:ds="http://schemas.openxmlformats.org/officeDocument/2006/customXml" ds:itemID="{AAB9C164-3A82-4A66-96D0-E2BF216D8316}"/>
</file>

<file path=customXml/itemProps3.xml><?xml version="1.0" encoding="utf-8"?>
<ds:datastoreItem xmlns:ds="http://schemas.openxmlformats.org/officeDocument/2006/customXml" ds:itemID="{DED209A6-6CA8-4666-A1BE-1D0DB22D60DB}"/>
</file>

<file path=customXml/itemProps4.xml><?xml version="1.0" encoding="utf-8"?>
<ds:datastoreItem xmlns:ds="http://schemas.openxmlformats.org/officeDocument/2006/customXml" ds:itemID="{E58D7DD1-6B9D-48CB-8060-8541D6B4A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3670</Words>
  <Characters>27888</Characters>
  <Application>Microsoft Office Word</Application>
  <DocSecurity>0</DocSecurity>
  <Lines>232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15.04.2026 № 94</dc:title>
  <dc:creator>Сотрудник</dc:creator>
  <cp:lastModifiedBy>Кашавцева Алиса Юрьевна</cp:lastModifiedBy>
  <cp:revision>55</cp:revision>
  <cp:lastPrinted>2026-03-27T04:47:00Z</cp:lastPrinted>
  <dcterms:created xsi:type="dcterms:W3CDTF">2026-03-27T04:24:00Z</dcterms:created>
  <dcterms:modified xsi:type="dcterms:W3CDTF">2026-04-15T08:14:00Z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