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434D5F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08.04.2026</w:t>
      </w:r>
      <w:r w:rsidR="000C61CB">
        <w:rPr>
          <w:sz w:val="30"/>
          <w:szCs w:val="30"/>
        </w:rPr>
        <w:t xml:space="preserve">    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9F3FE8">
        <w:rPr>
          <w:sz w:val="30"/>
          <w:szCs w:val="30"/>
        </w:rPr>
        <w:t xml:space="preserve">        </w:t>
      </w:r>
      <w:r w:rsidR="002B7291">
        <w:rPr>
          <w:sz w:val="30"/>
          <w:szCs w:val="30"/>
        </w:rPr>
        <w:t xml:space="preserve"> </w:t>
      </w:r>
      <w:r w:rsidR="000C61CB">
        <w:rPr>
          <w:sz w:val="30"/>
          <w:szCs w:val="30"/>
        </w:rPr>
        <w:t xml:space="preserve"> </w:t>
      </w:r>
      <w:r w:rsidR="0028538D">
        <w:rPr>
          <w:sz w:val="30"/>
          <w:szCs w:val="30"/>
        </w:rPr>
        <w:t xml:space="preserve">                  </w:t>
      </w:r>
      <w:r w:rsidR="009F3FE8">
        <w:rPr>
          <w:sz w:val="30"/>
          <w:szCs w:val="30"/>
        </w:rPr>
        <w:t xml:space="preserve">  </w:t>
      </w:r>
      <w:r w:rsidR="0028538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86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3E271E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3E271E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t>1</w:t>
      </w:r>
      <w:r w:rsidR="000F7446" w:rsidRPr="003E271E">
        <w:rPr>
          <w:sz w:val="30"/>
          <w:szCs w:val="30"/>
        </w:rPr>
        <w:t>) после строки с кодом бюджетной классификации «</w:t>
      </w:r>
      <w:r w:rsidR="009F3FE8" w:rsidRPr="003E271E">
        <w:rPr>
          <w:sz w:val="30"/>
          <w:szCs w:val="30"/>
        </w:rPr>
        <w:t>2 02 29999 04 7397 150</w:t>
      </w:r>
      <w:r w:rsidR="000F7446" w:rsidRPr="003E271E">
        <w:rPr>
          <w:sz w:val="30"/>
          <w:szCs w:val="30"/>
        </w:rPr>
        <w:t>», наименованием «</w:t>
      </w:r>
      <w:r w:rsidR="009F3FE8" w:rsidRPr="003E271E">
        <w:rPr>
          <w:sz w:val="30"/>
          <w:szCs w:val="30"/>
        </w:rPr>
        <w:t>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</w:t>
      </w:r>
      <w:proofErr w:type="gramEnd"/>
      <w:r w:rsidR="009F3FE8" w:rsidRPr="003E271E">
        <w:rPr>
          <w:sz w:val="30"/>
          <w:szCs w:val="30"/>
        </w:rPr>
        <w:t xml:space="preserve"> </w:t>
      </w:r>
      <w:proofErr w:type="gramStart"/>
      <w:r w:rsidR="009F3FE8" w:rsidRPr="003E271E">
        <w:rPr>
          <w:sz w:val="30"/>
          <w:szCs w:val="30"/>
        </w:rPr>
        <w:t>обучающимся),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</w:t>
      </w:r>
      <w:r w:rsidR="000F7446" w:rsidRPr="003E271E">
        <w:rPr>
          <w:sz w:val="30"/>
          <w:szCs w:val="30"/>
        </w:rPr>
        <w:t>» дополнить строкой:</w:t>
      </w:r>
      <w:proofErr w:type="gramEnd"/>
    </w:p>
    <w:p w:rsidR="000F7446" w:rsidRPr="003E271E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 xml:space="preserve"> с кодом бюджетной классификации «2 02 </w:t>
      </w:r>
      <w:r w:rsidR="006D56E6" w:rsidRPr="003E271E">
        <w:rPr>
          <w:sz w:val="30"/>
          <w:szCs w:val="30"/>
        </w:rPr>
        <w:t>2</w:t>
      </w:r>
      <w:r w:rsidRPr="003E271E">
        <w:rPr>
          <w:sz w:val="30"/>
          <w:szCs w:val="30"/>
        </w:rPr>
        <w:t xml:space="preserve">9999 04 </w:t>
      </w:r>
      <w:r w:rsidR="00543A1A" w:rsidRPr="003E271E">
        <w:rPr>
          <w:sz w:val="30"/>
          <w:szCs w:val="30"/>
        </w:rPr>
        <w:t>7</w:t>
      </w:r>
      <w:r w:rsidR="009F3FE8" w:rsidRPr="003E271E">
        <w:rPr>
          <w:sz w:val="30"/>
          <w:szCs w:val="30"/>
        </w:rPr>
        <w:t>410</w:t>
      </w:r>
      <w:r w:rsidRPr="003E271E">
        <w:rPr>
          <w:sz w:val="30"/>
          <w:szCs w:val="30"/>
        </w:rPr>
        <w:t xml:space="preserve"> 150», наименованием «</w:t>
      </w:r>
      <w:r w:rsidR="009F3FE8" w:rsidRPr="003E271E">
        <w:rPr>
          <w:sz w:val="30"/>
          <w:szCs w:val="30"/>
        </w:rPr>
        <w:t>Прочие субсидии бюджетам городских округов (на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</w:t>
      </w:r>
      <w:r w:rsidRPr="003E271E">
        <w:rPr>
          <w:sz w:val="30"/>
          <w:szCs w:val="30"/>
        </w:rPr>
        <w:t>»;</w:t>
      </w:r>
    </w:p>
    <w:p w:rsidR="00B86A33" w:rsidRPr="003E271E" w:rsidRDefault="00B86A33" w:rsidP="00B86A33">
      <w:pPr>
        <w:pStyle w:val="aa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2) после строки с кодом бюджетной классификации «</w:t>
      </w:r>
      <w:r w:rsidR="009F3FE8" w:rsidRPr="003E271E">
        <w:rPr>
          <w:sz w:val="30"/>
          <w:szCs w:val="30"/>
        </w:rPr>
        <w:t>2 02 29999 04 7563 150</w:t>
      </w:r>
      <w:r w:rsidRPr="003E271E">
        <w:rPr>
          <w:sz w:val="30"/>
          <w:szCs w:val="30"/>
        </w:rPr>
        <w:t>», наименованием «</w:t>
      </w:r>
      <w:r w:rsidR="009F3FE8" w:rsidRPr="003E271E">
        <w:rPr>
          <w:sz w:val="30"/>
          <w:szCs w:val="30"/>
        </w:rPr>
        <w:t xml:space="preserve">Прочие субсидии бюджетам городских </w:t>
      </w:r>
      <w:r w:rsidR="009F3FE8" w:rsidRPr="003E271E">
        <w:rPr>
          <w:sz w:val="30"/>
          <w:szCs w:val="30"/>
        </w:rPr>
        <w:lastRenderedPageBreak/>
        <w:t>округов (на приведение зданий и сооружений общеобразовательных организаций в соответствие с требованиями законодательства)</w:t>
      </w:r>
      <w:r w:rsidRPr="003E271E">
        <w:rPr>
          <w:sz w:val="30"/>
          <w:szCs w:val="30"/>
        </w:rPr>
        <w:t>» дополнить строкой:</w:t>
      </w:r>
    </w:p>
    <w:p w:rsidR="00B86A33" w:rsidRP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>с кодом бюджетной к</w:t>
      </w:r>
      <w:r w:rsidR="009F3FE8">
        <w:rPr>
          <w:sz w:val="30"/>
          <w:szCs w:val="30"/>
        </w:rPr>
        <w:t>лассификации «2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 w:rsidR="009F3FE8" w:rsidRPr="0033162B">
        <w:rPr>
          <w:sz w:val="30"/>
          <w:szCs w:val="30"/>
        </w:rPr>
        <w:t>Прочие субсидии бюджетам городских округов (на</w:t>
      </w:r>
      <w:r w:rsidR="009F3FE8"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</w:t>
      </w:r>
      <w:r>
        <w:rPr>
          <w:sz w:val="30"/>
          <w:szCs w:val="30"/>
        </w:rPr>
        <w:t>»;</w:t>
      </w:r>
    </w:p>
    <w:p w:rsidR="000F7446" w:rsidRPr="00156EB3" w:rsidRDefault="00B86A33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Заместитель Главы города –</w:t>
      </w:r>
    </w:p>
    <w:p w:rsidR="00D80CD4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B86A33" w:rsidRDefault="00B86A33" w:rsidP="00D8599C">
      <w:pPr>
        <w:tabs>
          <w:tab w:val="left" w:pos="4253"/>
          <w:tab w:val="left" w:pos="4395"/>
        </w:tabs>
        <w:spacing w:line="192" w:lineRule="auto"/>
        <w:rPr>
          <w:sz w:val="30"/>
          <w:szCs w:val="30"/>
        </w:rPr>
      </w:pPr>
    </w:p>
    <w:p w:rsidR="00D8599C" w:rsidRDefault="00D8599C" w:rsidP="00D8599C">
      <w:pPr>
        <w:tabs>
          <w:tab w:val="left" w:pos="4253"/>
          <w:tab w:val="left" w:pos="4395"/>
        </w:tabs>
        <w:spacing w:line="192" w:lineRule="auto"/>
        <w:rPr>
          <w:color w:val="000000"/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B92DC9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434D5F">
        <w:rPr>
          <w:color w:val="000000"/>
          <w:sz w:val="30"/>
          <w:szCs w:val="30"/>
        </w:rPr>
        <w:t>08.04.2026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434D5F">
        <w:rPr>
          <w:color w:val="000000"/>
          <w:sz w:val="32"/>
          <w:szCs w:val="30"/>
        </w:rPr>
        <w:t xml:space="preserve"> 86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Pr="003E271E" w:rsidRDefault="00AD2BD7" w:rsidP="00AD2BD7">
      <w:pPr>
        <w:ind w:firstLine="709"/>
        <w:jc w:val="both"/>
        <w:rPr>
          <w:sz w:val="30"/>
          <w:szCs w:val="30"/>
        </w:rPr>
      </w:pPr>
      <w:proofErr w:type="gramStart"/>
      <w:r w:rsidRPr="003E271E">
        <w:rPr>
          <w:sz w:val="30"/>
          <w:szCs w:val="30"/>
        </w:rPr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 xml:space="preserve">«Прочие субсидии бюджетам городских округов (на частичное финансирование (возмещение) расходов на </w:t>
      </w:r>
      <w:r w:rsidR="00B80D34" w:rsidRPr="003E271E">
        <w:rPr>
          <w:sz w:val="30"/>
          <w:szCs w:val="30"/>
        </w:rPr>
        <w:lastRenderedPageBreak/>
        <w:t>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E271E">
        <w:rPr>
          <w:sz w:val="30"/>
          <w:szCs w:val="30"/>
        </w:rPr>
        <w:t xml:space="preserve"> </w:t>
      </w:r>
      <w:proofErr w:type="gramStart"/>
      <w:r w:rsidR="00B80D34" w:rsidRPr="003E271E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B86A33" w:rsidRDefault="00AD2BD7" w:rsidP="00AD2BD7">
      <w:pPr>
        <w:ind w:firstLine="709"/>
        <w:jc w:val="both"/>
        <w:rPr>
          <w:sz w:val="30"/>
          <w:szCs w:val="30"/>
        </w:rPr>
      </w:pPr>
      <w:r w:rsidRPr="00B86A33">
        <w:rPr>
          <w:sz w:val="30"/>
          <w:szCs w:val="30"/>
        </w:rPr>
        <w:t>2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02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29999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04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7421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150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«Прочие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субсидии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бюджетам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городских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округов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(на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создание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новых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мест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общеобразовательных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организациях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города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Красноярска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за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счет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сре</w:t>
      </w:r>
      <w:proofErr w:type="gramStart"/>
      <w:r w:rsidRPr="00B86A33">
        <w:rPr>
          <w:sz w:val="30"/>
          <w:szCs w:val="30"/>
        </w:rPr>
        <w:t>дств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кр</w:t>
      </w:r>
      <w:proofErr w:type="gramEnd"/>
      <w:r w:rsidRPr="00B86A33">
        <w:rPr>
          <w:sz w:val="30"/>
          <w:szCs w:val="30"/>
        </w:rPr>
        <w:t>аевого</w:t>
      </w:r>
      <w:r w:rsidR="00E235F5" w:rsidRPr="00B86A33"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бюджета)»;</w:t>
      </w:r>
    </w:p>
    <w:p w:rsidR="00B86A33" w:rsidRP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B86A33">
        <w:rPr>
          <w:sz w:val="30"/>
          <w:szCs w:val="30"/>
        </w:rPr>
        <w:t xml:space="preserve">2 02 29999 04 7437 150 – «Прочие субсидии бюджетам городских </w:t>
      </w:r>
      <w:r w:rsidRPr="0033162B">
        <w:rPr>
          <w:sz w:val="30"/>
          <w:szCs w:val="30"/>
        </w:rPr>
        <w:t>округов (на</w:t>
      </w:r>
      <w:r>
        <w:rPr>
          <w:sz w:val="30"/>
          <w:szCs w:val="30"/>
        </w:rPr>
        <w:t xml:space="preserve">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7470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создание условий для предоставления горячего питания обучающимся общеобразовательных организаций</w:t>
      </w:r>
      <w:r>
        <w:rPr>
          <w:sz w:val="30"/>
          <w:szCs w:val="30"/>
        </w:rPr>
        <w:t>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3E271E" w:rsidRDefault="00AD2BD7" w:rsidP="00AD2BD7">
      <w:pPr>
        <w:ind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7563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«Прочие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субсидии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бюджетам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городских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округов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(на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приведение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зданий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и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сооружений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общеобразовательных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организаций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в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соответствие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с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требованиями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законодательства)»;</w:t>
      </w:r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lastRenderedPageBreak/>
        <w:t xml:space="preserve"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Pr="003C1AEC">
        <w:rPr>
          <w:color w:val="000000" w:themeColor="text1"/>
          <w:sz w:val="30"/>
          <w:szCs w:val="30"/>
        </w:rPr>
        <w:t>грантовой</w:t>
      </w:r>
      <w:proofErr w:type="spellEnd"/>
      <w:r w:rsidRPr="003C1AEC">
        <w:rPr>
          <w:color w:val="000000" w:themeColor="text1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70098A" w:rsidRP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</w:t>
      </w:r>
      <w:r>
        <w:rPr>
          <w:color w:val="000000"/>
          <w:sz w:val="30"/>
          <w:szCs w:val="30"/>
        </w:rPr>
        <w:lastRenderedPageBreak/>
        <w:t>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</w:t>
      </w:r>
      <w:r w:rsidRPr="00996E5A">
        <w:rPr>
          <w:color w:val="000000"/>
          <w:sz w:val="30"/>
          <w:szCs w:val="30"/>
        </w:rPr>
        <w:lastRenderedPageBreak/>
        <w:t>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D3E73" w:rsidRDefault="007D3E73" w:rsidP="007D3E73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7D3E73" w:rsidRDefault="007D3E73" w:rsidP="007D3E73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7D3E73" w:rsidRPr="005433B7" w:rsidRDefault="007D3E73" w:rsidP="007D3E73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705949" w:rsidRPr="007D3E73" w:rsidRDefault="00705949" w:rsidP="007D3E73">
      <w:pPr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A10F73" w:rsidRPr="00B51C5B" w:rsidRDefault="00A10F73" w:rsidP="006A1880">
      <w:pPr>
        <w:pStyle w:val="aa"/>
        <w:jc w:val="both"/>
        <w:rPr>
          <w:sz w:val="30"/>
          <w:szCs w:val="30"/>
        </w:rPr>
      </w:pPr>
    </w:p>
    <w:sectPr w:rsidR="00A10F73" w:rsidRPr="00B51C5B" w:rsidSect="005432C0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D5F">
          <w:rPr>
            <w:noProof/>
          </w:rPr>
          <w:t>3</w:t>
        </w:r>
        <w:r>
          <w:fldChar w:fldCharType="end"/>
        </w:r>
      </w:p>
      <w:p w:rsidR="002F7810" w:rsidRDefault="00434D5F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259DE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08.04.2026 № 86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54F51D3-480A-4B54-9A3C-4248FE272B8C}"/>
</file>

<file path=customXml/itemProps2.xml><?xml version="1.0" encoding="utf-8"?>
<ds:datastoreItem xmlns:ds="http://schemas.openxmlformats.org/officeDocument/2006/customXml" ds:itemID="{3B2323B4-233B-4399-8B95-0D70EBFFE048}"/>
</file>

<file path=customXml/itemProps3.xml><?xml version="1.0" encoding="utf-8"?>
<ds:datastoreItem xmlns:ds="http://schemas.openxmlformats.org/officeDocument/2006/customXml" ds:itemID="{DFB36CF7-0C31-4613-9E9C-A05D6B5CE402}"/>
</file>

<file path=customXml/itemProps4.xml><?xml version="1.0" encoding="utf-8"?>
<ds:datastoreItem xmlns:ds="http://schemas.openxmlformats.org/officeDocument/2006/customXml" ds:itemID="{3A064F7C-CB80-4EDC-BFF4-56B4F2B68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3317</Words>
  <Characters>25501</Characters>
  <Application>Microsoft Office Word</Application>
  <DocSecurity>0</DocSecurity>
  <Lines>212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08.04.2026 № 86</dc:title>
  <dc:creator>Сотрудник</dc:creator>
  <cp:lastModifiedBy>Кашавцева Алиса Юрьевна</cp:lastModifiedBy>
  <cp:revision>23</cp:revision>
  <cp:lastPrinted>2026-03-27T04:47:00Z</cp:lastPrinted>
  <dcterms:created xsi:type="dcterms:W3CDTF">2026-03-27T04:24:00Z</dcterms:created>
  <dcterms:modified xsi:type="dcterms:W3CDTF">2026-04-09T01:58:00Z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